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D3" w:rsidRPr="002F6F2F" w:rsidRDefault="00A36914" w:rsidP="009070D3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2F6F2F">
        <w:rPr>
          <w:rFonts w:ascii="Times New Roman" w:hAnsi="Times New Roman" w:cs="Times New Roman"/>
          <w:noProof/>
          <w:sz w:val="24"/>
          <w:szCs w:val="24"/>
        </w:rPr>
        <w:tab/>
      </w:r>
    </w:p>
    <w:p w:rsidR="009070D3" w:rsidRPr="002F6F2F" w:rsidRDefault="009070D3" w:rsidP="009070D3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2F6F2F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9070D3" w:rsidRPr="002F6F2F" w:rsidRDefault="009070D3" w:rsidP="009070D3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2F6F2F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2F6F2F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2F6F2F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Rektora UMK </w:t>
      </w:r>
      <w:r w:rsidRPr="002F6F2F">
        <w:rPr>
          <w:rFonts w:cs="Times New Roman"/>
          <w:noProof/>
          <w:sz w:val="18"/>
          <w:szCs w:val="18"/>
        </w:rPr>
        <w:t xml:space="preserve"> </w:t>
      </w:r>
      <w:r w:rsidRPr="002F6F2F">
        <w:rPr>
          <w:rFonts w:ascii="Times New Roman" w:hAnsi="Times New Roman" w:cs="Times New Roman"/>
          <w:noProof/>
          <w:sz w:val="18"/>
          <w:szCs w:val="18"/>
          <w:lang w:eastAsia="pl-PL"/>
        </w:rPr>
        <w:t>z dnia 21 grudnia 2015 r.</w:t>
      </w:r>
    </w:p>
    <w:p w:rsidR="00A36914" w:rsidRPr="002F6F2F" w:rsidRDefault="00A36914" w:rsidP="00A36914">
      <w:pPr>
        <w:pStyle w:val="Domylnie"/>
        <w:spacing w:after="0" w:line="100" w:lineRule="atLeast"/>
        <w:ind w:left="4678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  <w:r w:rsidRPr="002F6F2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2F6F2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br/>
        <w:t>doktoranckich, podyplomowych i kursach dokształcających</w:t>
      </w:r>
    </w:p>
    <w:p w:rsidR="00A36914" w:rsidRPr="002F6F2F" w:rsidRDefault="00A36914" w:rsidP="00A36914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2F6F2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Ogólny opis przedmiotu </w:t>
      </w:r>
    </w:p>
    <w:p w:rsidR="00A36914" w:rsidRPr="002F6F2F" w:rsidRDefault="00A36914" w:rsidP="00A36914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025"/>
      </w:tblGrid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Intensywny Nadzór Położniczy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Obstetric Intensive Care (supervision)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Wydział Nauk o Zdrowiu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Collegium Medicum w Bydgoszczy, UMK w Toruniu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Katedra Położnictwa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Pracownia Podstaw Opieki Położniczej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Kierunek: Położnictwo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Studia drugiego stopnia stacjonarne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1800 – PO1 - INP - S2L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9070D3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9070D3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(0910) Ochrona zdrowia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1,5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Egzamin zintegrowany</w:t>
            </w:r>
            <w:r w:rsidRPr="002F6F2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polski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A36914" w:rsidRPr="002F6F2F" w:rsidRDefault="00A36914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udział w wykładach: 17h, </w:t>
            </w:r>
          </w:p>
          <w:p w:rsidR="00A36914" w:rsidRPr="002F6F2F" w:rsidRDefault="00A36914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- kontakt z nauczycielem w postaci konsultacji: 3h</w:t>
            </w:r>
          </w:p>
          <w:p w:rsidR="00A36914" w:rsidRPr="002F6F2F" w:rsidRDefault="00A36914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- czytanie wskazanej literatury:2h</w:t>
            </w:r>
          </w:p>
          <w:p w:rsidR="00A36914" w:rsidRPr="002F6F2F" w:rsidRDefault="00A36914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-przygotowanie do zaliczenia +zaliczenie: 10+3=13h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eastAsia="pl-PL"/>
              </w:rPr>
              <w:t>Łączny nakład pracy studenta wynosi 35 godzin, co odpowiada 1,5 ECTS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wiedza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postępowanie diagnostyczne i profilaktyczno-lecznicze w ciąży powikłanej chorobami położniczymi                      i niepołożniczymi (B.W11.)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W2: Opisuje postępowanie profilaktyczno-terapeutyczne                  w połogu w przypadku chorób współistniejących z ciążą (B.W11.)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W3:Wyjaśnia funkcjonowanie aparatury w intensywnym nadzorze położniczym (B.W40.)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W4: Omawia zasady resuscytacji krążeniowo-oddechowej kobiety ciężarnej, rodzącej i położnicy oraz jej dziecka (B.W41.)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U1: Prawidłowo ocenia stan zdrowia kobiety ciężarnej, rodzącej, położnicy i noworodka (B.U14.)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U2: Stosuje pierwszą pomoc w przypadku występowania stanów zagrożenia życia u kobiety ciężarnej, rodzącej, położnicy i noworodka (B.U56.)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U3: Wykonuje zaawansowane zabiegi resuscytacyjne                        u ciężarnej, rodzącej, położnicy i noworodka (B.U57.)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U4: Stosuje pierwszą pomoc nad ciężarną z krwawieniem                w I i II połowie ciąży (B.U61.)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U5: Stosuje pierwszą pomoc w sytuacji krwotoku poporodowego (B.U61.)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U6: Wdraża działania ratujące życie w sytuacji wystąpienia zatorowości płucnej (B.U62.)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U7: Umie komunikować się z pacjentką niepełnosprawną (B.U65.)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K1: Podejmuje próby rozwiązywania problemów etycznych (B.K3.)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2F6F2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A36914" w:rsidRPr="002F6F2F" w:rsidRDefault="00A36914" w:rsidP="00A36914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A36914" w:rsidRPr="002F6F2F" w:rsidRDefault="00A36914" w:rsidP="00A36914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A36914" w:rsidRPr="002F6F2F" w:rsidRDefault="00A36914" w:rsidP="00A36914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Student przed przystąpieniem do zajęć powinien posiadać wiedzę z zakresu (zakres studiów I stopnia lic.): 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-fizjologii w odniesieniu do układu krążenia, oddechowego oraz centralnego układu nerwowego,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-metod i technik oceny stanu ogólnego, 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-oceny stanu świadomości wg skali Glasgow, 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-przebiegu prawidłowej ciąży, porodu i połogu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-powikłań okresu poporodowego, w tym postępowania                           w krwotokach poporodowych, rzucawce, hipoglikemii,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-zasad leczenia przeciwbólowego w położnictwie                               i ginekologii,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-zasad resuscytacji krążeniowo-oddechowej u noworodka.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Przedmiot ma na celu zdobywanie wiedzy przez studentów             z zakresu rozpoznawania stanów zagrożenia życia w okresie okołoporodowym.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studenta                                  z funkcjonowaniem aparatury medycznej stosowanej                         w intensywnym nadzorze położniczym, a także omówienie 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zasad resuscytacji krążeniowo-oddechowej kobiety ciężarnej, rodzącej, położnicy, noworodka i wcześniaka. Zdobywanie wiedzy na temat ch</w:t>
            </w:r>
            <w:r w:rsidR="009070D3"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orób przenoszonych drogą płciową 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u kobiety ciężarnej, rodzącej i położnicy. Zdobywanie wiedzy na temat diagnostyki chorób nowotworowych narządu płciowego kobiety oraz metod diagnostycznych zmian guzowatych gruczołów piersiowych. Zapoznanie studenta</w:t>
            </w:r>
            <w:r w:rsidR="009070D3"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z procedurami zminimalizowania ryzyka transmisji wertykalnej wirusa HIV od matki do płodu.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Ponadto zajęcia mają na celu zdobywanie umiejętności sprawowania nadzoru w stanach zagrożenia życia przebiegających z krwotokiem z dróg rodnych u kobiet                   w I i II trymestrze ciąży oraz przebiegających bez krwotoków                 z dróg rodnych, a także z innymi powikłaniami okresu okołoporodowego (m.in. zator płucny, pęknięcie macicy, krwotok poporodowy, atonia macicy,  zator wodami płodowymi, DIC, wstrząs hipowolemiczny, zespół Mendelsona).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Zdobywanie umiejętności monitorowania i leczenia bólu, oceny stanu świadomości w okresie okołoporodowym oraz oceny ciężkości urazu w okresie ciąży.</w:t>
            </w: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Literatura obowiązkowa/podstawowa: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1. Kruszyński Z. Anestezjologia i intensywna terapia położnicza. Wydawnictwo Lekarskie PZWL, Warszawa 2013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2. </w:t>
            </w: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Dębski R. (red.) Stany nagłe. Położnictwo i ginekologia. Medical Tribune Polska. Wydanie I. 2012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1. Andres J. (red.) Wytyczne 2010 resuscytacji krążeniowo- oddechowej. Kraków 2010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2. Boyle M., Stany nagłe w okresie okołoporodowym, Iwanowicz-Palus G. (red. pol.), Wydawnictwo Lekarskie PZWL, 2008.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3. Bręborowicz G. H., Położnictwo i ginekologia. Tom 1-2, Wydawnictwo Lekarskie PZWL, Warszawa 2005.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4.  Chazan B., Leibschang J., Postępowanie w nagłych stanach w położnictwie i ginekologii, Wyd. IV, Wydawnictwo Lekarskie PZWL, Warszawa 2002.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 xml:space="preserve">5. 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Duke J. Sekrety anestezjologii. Wydawnictwo Elsevier    Urban &amp; Partner, Wrocław 2008. 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Grześ B, Heimrath J, Sozański L, i wsp. Zaśniad groniasty częściowy z prawidłowo rozwijającym się płodem. Onkol Pol. 2007;10(4):145-149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7. Kalita J., Wybrane zagadnienia nadzoru położniczego. Wyd. Przegląd Lekarski, Kraków 2001.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8. Krajewska-Kułak E, Jankowiak B, Rolka H. (red.). Standardy i procedury  pielęgnowania chorych w stanach  zagrożenia życia. Podręcznik dla studiów medycznych. Wydawnictwo Lekarskie PZWL, Warszawa 2009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9. Kruszyński Z. Anestezjologia położnicza. Położnicze stany naglące. Wydawnictwo Lekarskie PZWL, Warszawa 2006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10. Larsen R. Anestezjologia. Wydawnictwo Medyczne Urban &amp; Partner, Wrocław 2003, dodruk 2005. 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11. Marino P. Intensywna terapia. Urban &amp; Partner, Wrocław  2008. 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12. Smith I, Kranke P, Murat I, et al. , „Perioperative fasting in adults and children - Guidelines from the European Society of Anaesthesiology”, Opieka Okołooperacyjna 2011;1:8-22</w:t>
            </w:r>
          </w:p>
          <w:p w:rsidR="00A36914" w:rsidRPr="002F6F2F" w:rsidRDefault="00A36914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13. Słomko Z., Bręborowicz G., Krwotoki w położnictwie, Wydawnictwo Lekarskie PZWL, Warszawa 1988.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14. Wytyczne postępowania klinicznego dla lekarzy położników i ginekologów, „Znieczulenie w położnictwie”, Ginekologia po Dyplomie 2010;12(6):77-87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Warunkiem zaliczenia przedmiotu jest: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- 100% frekwencja na wykładach,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-przedłużona obserwacja: K1, K3 (0-10 punktów, &gt;50%),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-ocena przez kolegów: K1, K3 (0-10 punktów, &gt;50%),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-zaliczenie wykładów odbywa się w formie kolokwium 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(test pisemny):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 W1,W2,W4,U2,U4,U5,U6,K2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-uzyskanie &gt;75% prawidłowych odpowiedzi,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 skala ocen końcowych w zależności od punktacji: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&lt;75% =2,0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75 – 80% = 3,0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80,01-85%=3,5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85,01-90%=4,0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90,01-95%=4,5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95,01-100%=5,0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2F6F2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Nie dotyczy</w:t>
            </w:r>
          </w:p>
        </w:tc>
      </w:tr>
    </w:tbl>
    <w:p w:rsidR="00A36914" w:rsidRPr="002F6F2F" w:rsidRDefault="00A36914" w:rsidP="00A36914">
      <w:pPr>
        <w:pStyle w:val="Domylnie"/>
        <w:numPr>
          <w:ilvl w:val="0"/>
          <w:numId w:val="2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2F6F2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5806"/>
      </w:tblGrid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Cykl dydaktyczny, w którym przedmiot jest realizowany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Semestr II (letni)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 przedmiotu w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Egzamin zintegrowany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Forma(y) i liczba godzin zajęć oraz sposoby ich zaliczenia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Wykłady: 17h (egzamin zintegrowany)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koordynatora/ów przedmiotu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osób prowadzących grupy zajęciowe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Dr </w:t>
            </w:r>
            <w:r w:rsidR="009070D3"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n. o zdr. </w:t>
            </w: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Marzena Kaźmierczak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Atrybut (charakter) przedmiotu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Grupy zajęciowe z opisem i limitem miejsc w grupach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Wykłady: cały rok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Terminy i miejsca odbywania zajęć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9070D3" w:rsidP="00907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  <w:r w:rsidR="00A36914" w:rsidRPr="002F6F2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kształcenia, zdefiniowane dla danej formy zajęć w ramach przedmiotu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Wykłady: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W1:Omawia postępowanie diagnostyczne </w:t>
            </w:r>
            <w:r w:rsidR="009070D3"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</w:t>
            </w: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i profilaktyczno-lecznicze w ciąży powikłanej chorobami położniczymi i niepołożniczymi (B.W11.)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W2: Opisuje postępowanie profilaktyczno-terapeutyczne                  w połogu w przypadku chorób współistniejących z ciążą (B.W11.)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U1: Diagnozuje stan zagrożenia życia kobiety ciężarnej, rodzącej, położnicy i noworodka (B.U56.)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U2: Omawia pierwszą pomoc w przypadku występowania stanów zagrożenia życia u kobiety ciężarnej, rodzącej, położnicy i noworodka (B.U56.)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U3: Omawia pierwszą pomoc nad ciężarną z krwawieniem                w I i II połowie ciąży (B.U61.)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U4: Omawia pierwszą pomoc w sytuacji krwotoku poporodowego (B.U61.)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U5: Opisuje działania ratujące życie w sytuacji wystąpienia zatorowości płucnej (B.U62.)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i kryteria oceniania danej formy 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Warunkiem zaliczenia przedmiotu jest: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- 100% frekwencja na wykładach,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-przedłużona obserwacja: K2 (0-10 punktów, &gt;50%),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-ocena przez kolegów: K2 (0-10 punktów, &gt;50%),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 zaliczenie wykładów odbywa się w formie kolokwium (test pisemny):</w:t>
            </w: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W1,W2, U1, U2, U3, U4, U5, K2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-uzyskanie &gt;75% prawidłowych odpowiedzi,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- skala ocen końcowych w zależności od punktacji: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&lt;75% =2,0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75 – 80% = 3,0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80,01-85%=3,5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85,01-90%=4,0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90,01-95%=4,5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95,01-100%=5,0</w:t>
            </w:r>
          </w:p>
          <w:p w:rsidR="00A36914" w:rsidRPr="002F6F2F" w:rsidRDefault="00A36914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2F6F2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Zakres tematów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1. Resuscytacja krążeniowo-oddechowa (ALS, BLS).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2. Resuscytacja położnicza i neonatologiczna. 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3. Ocena stanu świadomości.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4. Pomiar, ocena, monitorowanie bólu.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5. Urazy w czasie ciąży: wypadek komunikacyjny, ostry uraz brzucha, porażenie prądem.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7.Transmisja wertykalna wirusa HIV od matki do płodu.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8. Stany zagrożenia życia przebiegające z krwotokiem                 z dróg rodnych w I trymestrze ciąży: ciąża ektopowa, poronienie, zaśniad groniasty.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9. Stany zagrożenia życia przebiegające bez krwotoku                    z dróg rodnych w I trymestrze ciąży (wstrząs septyczny).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10. Stany zagrożenia życia przebiegające z krwotokiem                w II i III trymestrze ciąży: przedwczesne odklejenie łożyska, łożysko przodujące, pęknięcie macicy.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11. Wstrząs hipowolemiczny.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12. Choroba zakrzepowo-zatorowa. Zator tętnicy płucnej.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13. Zator wodami płodowymi (AFE). Zespół wykrzepiania wewnątrznaczyniowego (DIC).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14. Głodzenie w okresie okołooperacyjnym dorosłych. Aspiracyjne zapalenie płuc.</w:t>
            </w:r>
          </w:p>
          <w:p w:rsidR="00A36914" w:rsidRPr="002F6F2F" w:rsidRDefault="00A36914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15. Zaburzenia emocjonalne okresu okołoporodowego. Profilaktyka-czy można uniknąć depresji po porodzi</w:t>
            </w:r>
            <w:r w:rsidR="009070D3" w:rsidRPr="002F6F2F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 xml:space="preserve">?  Badania przesiewowe. Leczenie kobiet w depresji                       w okresie ciąży i po porodzie. </w:t>
            </w:r>
          </w:p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dydaktyczne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2F6F2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A36914" w:rsidRPr="002F6F2F" w:rsidRDefault="00A36914" w:rsidP="00A3691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A36914" w:rsidRPr="002F6F2F" w:rsidRDefault="00A36914" w:rsidP="00A36914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A36914" w:rsidRPr="002F6F2F" w:rsidRDefault="00A36914" w:rsidP="00A36914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A36914" w:rsidRPr="002F6F2F" w:rsidRDefault="00A36914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A36914" w:rsidRPr="002F6F2F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14" w:rsidRPr="002F6F2F" w:rsidRDefault="00A36914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2F6F2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Jak w części A</w:t>
            </w:r>
          </w:p>
        </w:tc>
      </w:tr>
    </w:tbl>
    <w:p w:rsidR="00A36914" w:rsidRPr="002F6F2F" w:rsidRDefault="00A36914" w:rsidP="00A36914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spacing w:after="0" w:line="100" w:lineRule="atLeast"/>
        <w:jc w:val="both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pStyle w:val="Domylnie"/>
        <w:rPr>
          <w:rFonts w:cs="Times New Roman"/>
          <w:noProof/>
          <w:sz w:val="24"/>
          <w:szCs w:val="24"/>
        </w:rPr>
      </w:pPr>
    </w:p>
    <w:p w:rsidR="00A36914" w:rsidRPr="002F6F2F" w:rsidRDefault="00A36914" w:rsidP="00A36914">
      <w:pPr>
        <w:rPr>
          <w:noProof/>
          <w:sz w:val="24"/>
          <w:szCs w:val="24"/>
        </w:rPr>
      </w:pPr>
    </w:p>
    <w:p w:rsidR="00F6610E" w:rsidRPr="002F6F2F" w:rsidRDefault="00F6610E">
      <w:pPr>
        <w:rPr>
          <w:noProof/>
        </w:rPr>
      </w:pPr>
    </w:p>
    <w:sectPr w:rsidR="00F6610E" w:rsidRPr="002F6F2F" w:rsidSect="00444464">
      <w:footerReference w:type="default" r:id="rId7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51" w:rsidRDefault="00733851">
      <w:r>
        <w:separator/>
      </w:r>
    </w:p>
  </w:endnote>
  <w:endnote w:type="continuationSeparator" w:id="0">
    <w:p w:rsidR="00733851" w:rsidRDefault="0073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64" w:rsidRDefault="009070D3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3C6F9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444464" w:rsidRDefault="0073385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51" w:rsidRDefault="00733851">
      <w:r>
        <w:separator/>
      </w:r>
    </w:p>
  </w:footnote>
  <w:footnote w:type="continuationSeparator" w:id="0">
    <w:p w:rsidR="00733851" w:rsidRDefault="0073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2F6F2F"/>
    <w:rsid w:val="003C6F97"/>
    <w:rsid w:val="00733851"/>
    <w:rsid w:val="009070D3"/>
    <w:rsid w:val="00A36914"/>
    <w:rsid w:val="00DA491F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E4F9-DAB0-4426-9D54-C3EEF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14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3691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A3691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A36914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A36914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dcterms:created xsi:type="dcterms:W3CDTF">2017-11-24T07:24:00Z</dcterms:created>
  <dcterms:modified xsi:type="dcterms:W3CDTF">2017-11-24T07:24:00Z</dcterms:modified>
</cp:coreProperties>
</file>