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  <w:b/>
              </w:rPr>
              <w:t>Nazwa pola</w:t>
            </w:r>
          </w:p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6521" w:type="dxa"/>
          </w:tcPr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  <w:b/>
              </w:rPr>
              <w:t>Komentarz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Nazwa przedmiotu (w języku polskim oraz angielskim)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FA45A1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sz w:val="24"/>
              </w:rPr>
            </w:pPr>
            <w:r w:rsidRPr="00FA45A1">
              <w:rPr>
                <w:rFonts w:ascii="Times" w:eastAsia="Calibri" w:hAnsi="Times" w:cs="Times New Roman"/>
                <w:b/>
                <w:sz w:val="24"/>
              </w:rPr>
              <w:t xml:space="preserve">Promocja zdrowia </w:t>
            </w:r>
          </w:p>
          <w:p w:rsidR="007A7BEB" w:rsidRPr="00FA45A1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  <w:sz w:val="24"/>
              </w:rPr>
            </w:pPr>
            <w:r w:rsidRPr="00FA45A1">
              <w:rPr>
                <w:rFonts w:ascii="Times" w:eastAsia="Calibri" w:hAnsi="Times" w:cs="Times New Roman"/>
                <w:b/>
                <w:sz w:val="24"/>
                <w:lang w:val="en-US"/>
              </w:rPr>
              <w:t>Health</w:t>
            </w:r>
            <w:r w:rsidR="007065C1" w:rsidRPr="00FA45A1">
              <w:rPr>
                <w:rFonts w:ascii="Times" w:eastAsia="Calibri" w:hAnsi="Times" w:cs="Times New Roman"/>
                <w:b/>
                <w:sz w:val="24"/>
                <w:lang w:val="en-US"/>
              </w:rPr>
              <w:t xml:space="preserve"> </w:t>
            </w:r>
            <w:r w:rsidRPr="00FA45A1">
              <w:rPr>
                <w:rFonts w:ascii="Times" w:eastAsia="Calibri" w:hAnsi="Times" w:cs="Times New Roman"/>
                <w:b/>
                <w:sz w:val="24"/>
                <w:lang w:val="en-US"/>
              </w:rPr>
              <w:t>Promotion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Jednostka oferująca przedmiot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FA45A1" w:rsidRDefault="0055516A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  <w:sz w:val="24"/>
              </w:rPr>
            </w:pPr>
            <w:r w:rsidRPr="009E2B6E">
              <w:rPr>
                <w:rFonts w:ascii="Times" w:eastAsia="Calibri" w:hAnsi="Times" w:cs="Times New Roman"/>
                <w:b/>
                <w:i/>
              </w:rPr>
              <w:t xml:space="preserve">Katedra </w:t>
            </w:r>
            <w:r>
              <w:rPr>
                <w:rFonts w:ascii="Times" w:eastAsia="Calibri" w:hAnsi="Times" w:cs="Times New Roman"/>
                <w:b/>
                <w:i/>
              </w:rPr>
              <w:t>Rehabilitacji Kardiologicznej i Promocji Zdrowia</w:t>
            </w:r>
            <w:bookmarkStart w:id="0" w:name="_GoBack"/>
            <w:bookmarkEnd w:id="0"/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Jednostka, dla której przedmiot jest oferowany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FA45A1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  <w:sz w:val="24"/>
              </w:rPr>
            </w:pPr>
            <w:r w:rsidRPr="00FA45A1">
              <w:rPr>
                <w:rFonts w:ascii="Times" w:eastAsia="Calibri" w:hAnsi="Times" w:cs="Times New Roman"/>
                <w:b/>
                <w:bCs/>
                <w:sz w:val="24"/>
              </w:rPr>
              <w:t>Wydział Nauk o Zdrowiu</w:t>
            </w:r>
          </w:p>
          <w:p w:rsidR="00663117" w:rsidRPr="00FA45A1" w:rsidRDefault="00663117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  <w:sz w:val="24"/>
              </w:rPr>
            </w:pPr>
            <w:r w:rsidRPr="00FA45A1">
              <w:rPr>
                <w:rFonts w:ascii="Times" w:eastAsia="Calibri" w:hAnsi="Times" w:cs="Times New Roman"/>
                <w:b/>
                <w:bCs/>
                <w:sz w:val="24"/>
              </w:rPr>
              <w:t xml:space="preserve">Kierunek: </w:t>
            </w:r>
            <w:r w:rsidR="0052682B" w:rsidRPr="00FA45A1">
              <w:rPr>
                <w:rFonts w:ascii="Times" w:eastAsia="Calibri" w:hAnsi="Times" w:cs="Times New Roman"/>
                <w:b/>
                <w:bCs/>
                <w:sz w:val="24"/>
              </w:rPr>
              <w:t>Położnictwo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 xml:space="preserve">Kod przedmiotu 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Default="00E43806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4"/>
              </w:rPr>
            </w:pPr>
            <w:r w:rsidRPr="00FA45A1">
              <w:rPr>
                <w:rFonts w:ascii="Times" w:eastAsia="Times New Roman" w:hAnsi="Times" w:cs="Times New Roman"/>
                <w:b/>
                <w:sz w:val="24"/>
              </w:rPr>
              <w:t>1800 – PO1 - NZPPO</w:t>
            </w:r>
            <w:r w:rsidR="00A26FCA" w:rsidRPr="00FA45A1">
              <w:rPr>
                <w:rFonts w:ascii="Times" w:eastAsia="Times New Roman" w:hAnsi="Times" w:cs="Times New Roman"/>
                <w:b/>
                <w:sz w:val="24"/>
              </w:rPr>
              <w:t xml:space="preserve"> – S1L</w:t>
            </w:r>
          </w:p>
          <w:p w:rsidR="00C17DAF" w:rsidRPr="00FA45A1" w:rsidRDefault="00C17DAF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4"/>
              </w:rPr>
            </w:pPr>
          </w:p>
        </w:tc>
      </w:tr>
      <w:tr w:rsidR="007A7BEB" w:rsidRPr="008C0B68" w:rsidTr="003D3D23">
        <w:trPr>
          <w:trHeight w:val="349"/>
        </w:trPr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Kod ERASMUS</w:t>
            </w:r>
          </w:p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3D3D23" w:rsidRDefault="00C61606" w:rsidP="003D3D23">
            <w:pPr>
              <w:spacing w:after="0" w:line="240" w:lineRule="auto"/>
              <w:jc w:val="center"/>
              <w:rPr>
                <w:rFonts w:ascii="Times" w:eastAsia="Times New Roman" w:hAnsi="Times" w:cs="Times New Roman"/>
              </w:rPr>
            </w:pPr>
            <w:r w:rsidRPr="003D3D23">
              <w:rPr>
                <w:rFonts w:ascii="Times" w:eastAsia="Times New Roman" w:hAnsi="Times" w:cs="Times New Roman"/>
              </w:rPr>
              <w:t>12700</w:t>
            </w:r>
          </w:p>
        </w:tc>
      </w:tr>
      <w:tr w:rsidR="00663117" w:rsidRPr="008C0B68" w:rsidTr="2102A64F">
        <w:tc>
          <w:tcPr>
            <w:tcW w:w="2943" w:type="dxa"/>
            <w:shd w:val="clear" w:color="auto" w:fill="8DB3E2" w:themeFill="text2" w:themeFillTint="66"/>
          </w:tcPr>
          <w:p w:rsidR="00663117" w:rsidRPr="008C0B68" w:rsidRDefault="00663117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hAnsi="Times" w:cs="Times New Roman"/>
              </w:rPr>
              <w:t>Kod ISCED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663117" w:rsidRPr="003D3D23" w:rsidRDefault="005016BD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Cs/>
              </w:rPr>
            </w:pPr>
            <w:r w:rsidRPr="003D3D23">
              <w:rPr>
                <w:rFonts w:ascii="Times" w:eastAsia="Calibri" w:hAnsi="Times" w:cs="Times New Roman"/>
                <w:bCs/>
              </w:rPr>
              <w:t>910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Liczba punktów ECTS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8C0B68" w:rsidRDefault="002C0F6F" w:rsidP="003D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 w:rsidRPr="008C0B68">
              <w:rPr>
                <w:rFonts w:ascii="Times" w:eastAsia="Calibri" w:hAnsi="Times" w:cs="Times New Roman"/>
                <w:i/>
              </w:rPr>
              <w:t>3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Sposób zaliczenia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8C0B68" w:rsidRDefault="007A7BEB" w:rsidP="003D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 w:rsidRPr="008C0B68">
              <w:rPr>
                <w:rFonts w:ascii="Times" w:eastAsia="Calibri" w:hAnsi="Times" w:cs="Times New Roman"/>
                <w:i/>
              </w:rPr>
              <w:t>Egzamin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Język wykładowy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8C0B68" w:rsidRDefault="007A7BEB" w:rsidP="003D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 w:rsidRPr="008C0B68">
              <w:rPr>
                <w:rFonts w:ascii="Times" w:eastAsia="Calibri" w:hAnsi="Times" w:cs="Times New Roman"/>
                <w:i/>
              </w:rPr>
              <w:t>polski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Określenie, czy przedmiot może być wielokrotnie zaliczany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8C0B68" w:rsidRDefault="002C0F6F" w:rsidP="003D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 w:rsidRPr="008C0B68">
              <w:rPr>
                <w:rFonts w:ascii="Times" w:eastAsia="Calibri" w:hAnsi="Times" w:cs="Times New Roman"/>
                <w:i/>
              </w:rPr>
              <w:t>Nie</w:t>
            </w:r>
          </w:p>
        </w:tc>
      </w:tr>
      <w:tr w:rsidR="007A7BEB" w:rsidRPr="008C0B68" w:rsidTr="2102A64F">
        <w:tc>
          <w:tcPr>
            <w:tcW w:w="2943" w:type="dxa"/>
            <w:shd w:val="clear" w:color="auto" w:fill="8DB3E2" w:themeFill="text2" w:themeFillTint="66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 xml:space="preserve">Przynależność przedmiotu do grupy przedmiotów 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:rsidR="007A7BEB" w:rsidRPr="003D3D23" w:rsidRDefault="003D3D23" w:rsidP="003D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3D3D23">
              <w:rPr>
                <w:rFonts w:ascii="Times" w:eastAsia="Calibri" w:hAnsi="Times" w:cs="Times New Roman"/>
              </w:rPr>
              <w:t>MODUŁ (C) NAUKI W ZAKRESIE PODSTAW OPIEKI POŁOŻNICZEJ</w:t>
            </w:r>
          </w:p>
        </w:tc>
      </w:tr>
      <w:tr w:rsidR="00630AB9" w:rsidRPr="008C0B68" w:rsidTr="2102A64F">
        <w:tc>
          <w:tcPr>
            <w:tcW w:w="2943" w:type="dxa"/>
          </w:tcPr>
          <w:p w:rsidR="00630AB9" w:rsidRPr="008C0B68" w:rsidRDefault="00630AB9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</w:tcPr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udział w wykładach: 10 godzin – w tym 10 godzin z wykorzystaniem metod kształcenia na odległość (Moodle)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</w:t>
            </w:r>
            <w:r w:rsidR="001F4255" w:rsidRPr="008C0B68">
              <w:rPr>
                <w:rFonts w:ascii="Times" w:hAnsi="Times" w:cs="Times New Roman"/>
              </w:rPr>
              <w:t>seminariach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A26FCA" w:rsidRPr="008C0B68">
              <w:rPr>
                <w:rFonts w:ascii="Times" w:hAnsi="Times" w:cs="Times New Roman"/>
              </w:rPr>
              <w:t>3</w:t>
            </w:r>
            <w:r w:rsidRPr="008C0B68">
              <w:rPr>
                <w:rFonts w:ascii="Times" w:hAnsi="Times" w:cs="Times New Roman"/>
              </w:rPr>
              <w:t xml:space="preserve">0 godzin 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udział w zajęciach praktycznych</w:t>
            </w:r>
            <w:r w:rsidR="00A26FCA" w:rsidRPr="008C0B68">
              <w:rPr>
                <w:rFonts w:ascii="Times" w:hAnsi="Times" w:cs="Times New Roman"/>
              </w:rPr>
              <w:t>: 20 godzin</w:t>
            </w:r>
            <w:r w:rsidRPr="008C0B68">
              <w:rPr>
                <w:rFonts w:ascii="Times" w:hAnsi="Times" w:cs="Times New Roman"/>
              </w:rPr>
              <w:t xml:space="preserve"> (w tym 5 godzin w warunkach symulacji)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A26FCA" w:rsidRPr="008C0B68">
              <w:rPr>
                <w:rFonts w:ascii="Times" w:hAnsi="Times" w:cs="Times New Roman"/>
              </w:rPr>
              <w:t xml:space="preserve">3 </w:t>
            </w:r>
            <w:r w:rsidRPr="008C0B68">
              <w:rPr>
                <w:rFonts w:ascii="Times" w:hAnsi="Times" w:cs="Times New Roman"/>
              </w:rPr>
              <w:t>godzin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przeprowadzenie egzaminu: 1  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A26FCA" w:rsidRPr="008C0B68">
              <w:rPr>
                <w:rFonts w:ascii="Times" w:hAnsi="Times" w:cs="Times New Roman"/>
              </w:rPr>
              <w:t>63</w:t>
            </w:r>
            <w:r w:rsidRPr="008C0B68">
              <w:rPr>
                <w:rFonts w:ascii="Times" w:hAnsi="Times" w:cs="Times New Roman"/>
              </w:rPr>
              <w:t xml:space="preserve"> godzin, co odpowiada 2 punktom ECTS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udział w wykładach: 10 godzin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</w:t>
            </w:r>
            <w:r w:rsidR="001F4255" w:rsidRPr="008C0B68">
              <w:rPr>
                <w:rFonts w:ascii="Times" w:hAnsi="Times" w:cs="Times New Roman"/>
              </w:rPr>
              <w:t>seminariach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A26FCA" w:rsidRPr="008C0B68">
              <w:rPr>
                <w:rFonts w:ascii="Times" w:hAnsi="Times" w:cs="Times New Roman"/>
              </w:rPr>
              <w:t>3</w:t>
            </w:r>
            <w:r w:rsidRPr="008C0B68">
              <w:rPr>
                <w:rFonts w:ascii="Times" w:hAnsi="Times" w:cs="Times New Roman"/>
              </w:rPr>
              <w:t>0 godzin</w:t>
            </w:r>
          </w:p>
          <w:p w:rsidR="001150ED" w:rsidRPr="008C0B68" w:rsidRDefault="001150ED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zajęciach praktycznych: 20 godzin </w:t>
            </w:r>
          </w:p>
          <w:p w:rsidR="001150ED" w:rsidRPr="008C0B68" w:rsidRDefault="001150ED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samokształcenie: </w:t>
            </w:r>
            <w:r w:rsidR="000F2180" w:rsidRPr="008C0B68">
              <w:rPr>
                <w:rFonts w:ascii="Times" w:hAnsi="Times" w:cs="Times New Roman"/>
              </w:rPr>
              <w:t>1</w:t>
            </w:r>
            <w:r w:rsidRPr="008C0B68">
              <w:rPr>
                <w:rFonts w:ascii="Times" w:hAnsi="Times" w:cs="Times New Roman"/>
              </w:rPr>
              <w:t>0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przygotowanie do </w:t>
            </w:r>
            <w:r w:rsidR="001F4255" w:rsidRPr="008C0B68">
              <w:rPr>
                <w:rFonts w:ascii="Times" w:hAnsi="Times" w:cs="Times New Roman"/>
              </w:rPr>
              <w:t>seminariów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1150ED" w:rsidRPr="008C0B68">
              <w:rPr>
                <w:rFonts w:ascii="Times" w:hAnsi="Times" w:cs="Times New Roman"/>
              </w:rPr>
              <w:t>3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1150ED" w:rsidRPr="008C0B68">
              <w:rPr>
                <w:rFonts w:ascii="Times" w:hAnsi="Times" w:cs="Times New Roman"/>
              </w:rPr>
              <w:t>y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</w:t>
            </w:r>
            <w:r w:rsidR="001528A9" w:rsidRPr="008C0B68">
              <w:rPr>
                <w:rFonts w:ascii="Times" w:hAnsi="Times" w:cs="Times New Roman"/>
              </w:rPr>
              <w:t>przygotowanie do zajęć praktycznych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1150ED" w:rsidRPr="008C0B68">
              <w:rPr>
                <w:rFonts w:ascii="Times" w:hAnsi="Times" w:cs="Times New Roman"/>
              </w:rPr>
              <w:t>3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1150ED" w:rsidRPr="008C0B68">
              <w:rPr>
                <w:rFonts w:ascii="Times" w:hAnsi="Times" w:cs="Times New Roman"/>
              </w:rPr>
              <w:t>y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A26FCA" w:rsidRPr="008C0B68">
              <w:rPr>
                <w:rFonts w:ascii="Times" w:hAnsi="Times" w:cs="Times New Roman"/>
              </w:rPr>
              <w:t>3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1150ED" w:rsidRPr="008C0B68">
              <w:rPr>
                <w:rFonts w:ascii="Times" w:hAnsi="Times" w:cs="Times New Roman"/>
              </w:rPr>
              <w:t>y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przygotowanie do egzaminu i egzamin: </w:t>
            </w:r>
            <w:r w:rsidR="001150ED" w:rsidRPr="008C0B68">
              <w:rPr>
                <w:rFonts w:ascii="Times" w:hAnsi="Times" w:cs="Times New Roman"/>
              </w:rPr>
              <w:t xml:space="preserve">3+1 </w:t>
            </w:r>
            <w:r w:rsidRPr="008C0B68">
              <w:rPr>
                <w:rFonts w:ascii="Times" w:hAnsi="Times" w:cs="Times New Roman"/>
              </w:rPr>
              <w:t xml:space="preserve">=   </w:t>
            </w:r>
            <w:r w:rsidR="001150ED" w:rsidRPr="008C0B68">
              <w:rPr>
                <w:rFonts w:ascii="Times" w:hAnsi="Times" w:cs="Times New Roman"/>
              </w:rPr>
              <w:t xml:space="preserve">4 </w:t>
            </w:r>
            <w:r w:rsidRPr="008C0B68">
              <w:rPr>
                <w:rFonts w:ascii="Times" w:hAnsi="Times" w:cs="Times New Roman"/>
              </w:rPr>
              <w:t>godzin</w:t>
            </w:r>
            <w:r w:rsidR="001150ED" w:rsidRPr="008C0B68">
              <w:rPr>
                <w:rFonts w:ascii="Times" w:hAnsi="Times" w:cs="Times New Roman"/>
              </w:rPr>
              <w:t>y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0F2180" w:rsidRPr="008C0B68">
              <w:rPr>
                <w:rFonts w:ascii="Times" w:hAnsi="Times" w:cs="Times New Roman"/>
              </w:rPr>
              <w:t>82</w:t>
            </w:r>
            <w:r w:rsidRPr="008C0B68">
              <w:rPr>
                <w:rFonts w:ascii="Times" w:hAnsi="Times" w:cs="Times New Roman"/>
              </w:rPr>
              <w:t>godzin</w:t>
            </w:r>
            <w:r w:rsidR="001528A9" w:rsidRPr="008C0B68">
              <w:rPr>
                <w:rFonts w:ascii="Times" w:hAnsi="Times" w:cs="Times New Roman"/>
              </w:rPr>
              <w:t>y</w:t>
            </w:r>
            <w:r w:rsidRPr="008C0B68">
              <w:rPr>
                <w:rFonts w:ascii="Times" w:hAnsi="Times" w:cs="Times New Roman"/>
              </w:rPr>
              <w:t xml:space="preserve">, co odpowiada </w:t>
            </w:r>
            <w:r w:rsidR="00F92A3D" w:rsidRPr="008C0B68">
              <w:rPr>
                <w:rFonts w:ascii="Times" w:hAnsi="Times"/>
              </w:rPr>
              <w:t>3</w:t>
            </w:r>
            <w:r w:rsidRPr="008C0B68">
              <w:rPr>
                <w:rFonts w:ascii="Times" w:hAnsi="Times" w:cs="Times New Roman"/>
              </w:rPr>
              <w:t>punktom ECTS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</w:p>
          <w:p w:rsidR="00DB619C" w:rsidRPr="008C0B68" w:rsidRDefault="00DB619C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prowadzonymi badaniami naukowymi:</w:t>
            </w:r>
          </w:p>
          <w:p w:rsidR="00DB619C" w:rsidRPr="008C0B68" w:rsidRDefault="00DB619C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czytanie wskazanej literatury naukowej: 10 godzin</w:t>
            </w:r>
          </w:p>
          <w:p w:rsidR="00DB619C" w:rsidRPr="008C0B68" w:rsidRDefault="00DB619C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konsultacje badawczo – naukowe: 1 godzina</w:t>
            </w:r>
          </w:p>
          <w:p w:rsidR="00DB619C" w:rsidRPr="008C0B68" w:rsidRDefault="00DB619C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udział w wykładach (z uwzględnieniem metodologii badań naukowych, wyników badań, opracowań): 4 godziny</w:t>
            </w:r>
          </w:p>
          <w:p w:rsidR="00DB619C" w:rsidRPr="008C0B68" w:rsidRDefault="00DB619C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</w:t>
            </w:r>
            <w:r w:rsidR="001F4255" w:rsidRPr="008C0B68">
              <w:rPr>
                <w:rFonts w:ascii="Times" w:hAnsi="Times" w:cs="Times New Roman"/>
              </w:rPr>
              <w:t>seminariach</w:t>
            </w:r>
            <w:r w:rsidRPr="008C0B68">
              <w:rPr>
                <w:rFonts w:ascii="Times" w:hAnsi="Times" w:cs="Times New Roman"/>
              </w:rPr>
              <w:t xml:space="preserve"> objętych aktywnością naukową </w:t>
            </w:r>
            <w:r w:rsidRPr="008C0B68">
              <w:rPr>
                <w:rFonts w:ascii="Times" w:hAnsi="Times" w:cs="Times New Roman"/>
              </w:rPr>
              <w:br/>
              <w:t>(z uwzględnieniem metodologii badań naukowych, wyników badań, opracowań): 10 godzin</w:t>
            </w:r>
          </w:p>
          <w:p w:rsidR="00DB619C" w:rsidRPr="008C0B68" w:rsidRDefault="00DB619C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przygotowanie do ćwiczeń objętych aktywnością naukową: 2 godziny</w:t>
            </w:r>
          </w:p>
          <w:p w:rsidR="00DB619C" w:rsidRPr="008C0B68" w:rsidRDefault="00DB619C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przygotowanie do egzaminu w zakresie aspektów badawczo </w:t>
            </w:r>
            <w:r w:rsidRPr="008C0B68">
              <w:rPr>
                <w:rFonts w:ascii="Times" w:hAnsi="Times" w:cs="Times New Roman"/>
              </w:rPr>
              <w:br/>
              <w:t>– naukowych  dla danego przedmiotu: 3 godziny</w:t>
            </w:r>
          </w:p>
          <w:p w:rsidR="00DB619C" w:rsidRPr="008C0B68" w:rsidRDefault="00DB619C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8C0B68">
              <w:rPr>
                <w:rFonts w:ascii="Times" w:hAnsi="Times"/>
                <w:iCs/>
              </w:rPr>
              <w:lastRenderedPageBreak/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prowadzonymi badaniami naukowymi</w:t>
            </w:r>
            <w:r w:rsidRPr="008C0B68">
              <w:rPr>
                <w:rFonts w:ascii="Times" w:hAnsi="Times"/>
                <w:iCs/>
              </w:rPr>
              <w:t xml:space="preserve"> wynosi 29 godzin, co odpowiada  1 punktowi ECTS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 w:cs="Times New Roman"/>
                <w:iCs/>
              </w:rPr>
            </w:pP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630AB9" w:rsidRPr="008C0B68" w:rsidRDefault="00630AB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przygotowanie do egzaminu i egzamin: </w:t>
            </w:r>
            <w:r w:rsidR="001528A9" w:rsidRPr="008C0B68">
              <w:rPr>
                <w:rFonts w:ascii="Times" w:hAnsi="Times" w:cs="Times New Roman"/>
              </w:rPr>
              <w:t>3 + 1</w:t>
            </w:r>
            <w:r w:rsidRPr="008C0B68">
              <w:rPr>
                <w:rFonts w:ascii="Times" w:hAnsi="Times" w:cs="Times New Roman"/>
              </w:rPr>
              <w:t xml:space="preserve">= </w:t>
            </w:r>
            <w:r w:rsidR="001528A9" w:rsidRPr="008C0B68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1528A9" w:rsidRPr="008C0B68">
              <w:rPr>
                <w:rFonts w:ascii="Times" w:hAnsi="Times" w:cs="Times New Roman"/>
              </w:rPr>
              <w:t>y</w:t>
            </w:r>
            <w:r w:rsidRPr="008C0B68">
              <w:rPr>
                <w:rFonts w:ascii="Times" w:hAnsi="Times" w:cs="Times New Roman"/>
              </w:rPr>
              <w:t xml:space="preserve"> (</w:t>
            </w:r>
            <w:r w:rsidR="001528A9" w:rsidRPr="008C0B68">
              <w:rPr>
                <w:rFonts w:ascii="Times" w:hAnsi="Times" w:cs="Times New Roman"/>
              </w:rPr>
              <w:t>0,16</w:t>
            </w:r>
            <w:r w:rsidRPr="008C0B68">
              <w:rPr>
                <w:rFonts w:ascii="Times" w:hAnsi="Times" w:cs="Times New Roman"/>
              </w:rPr>
              <w:t xml:space="preserve">  punktu ECTS)</w:t>
            </w:r>
          </w:p>
          <w:p w:rsidR="001528A9" w:rsidRPr="008C0B68" w:rsidRDefault="001528A9" w:rsidP="008C0B68">
            <w:pPr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czytanie wskazanej literatury samokształceniowej i jej zaliczenie: </w:t>
            </w:r>
            <w:r w:rsidR="00DB619C" w:rsidRPr="008C0B68">
              <w:rPr>
                <w:rFonts w:ascii="Times" w:hAnsi="Times" w:cs="Times New Roman"/>
              </w:rPr>
              <w:t>1</w:t>
            </w:r>
            <w:r w:rsidRPr="008C0B68">
              <w:rPr>
                <w:rFonts w:ascii="Times" w:hAnsi="Times" w:cs="Times New Roman"/>
              </w:rPr>
              <w:t>0 godzin (0,</w:t>
            </w:r>
            <w:r w:rsidR="00DB619C" w:rsidRPr="008C0B68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 </w:t>
            </w:r>
            <w:proofErr w:type="spellStart"/>
            <w:r w:rsidRPr="008C0B68">
              <w:rPr>
                <w:rFonts w:ascii="Times" w:hAnsi="Times" w:cs="Times New Roman"/>
              </w:rPr>
              <w:t>punkta</w:t>
            </w:r>
            <w:proofErr w:type="spellEnd"/>
            <w:r w:rsidRPr="008C0B68">
              <w:rPr>
                <w:rFonts w:ascii="Times" w:hAnsi="Times" w:cs="Times New Roman"/>
              </w:rPr>
              <w:t xml:space="preserve"> ECTS)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1528A9" w:rsidRPr="008C0B68">
              <w:rPr>
                <w:rFonts w:ascii="Times" w:hAnsi="Times"/>
                <w:iCs/>
              </w:rPr>
              <w:t>24</w:t>
            </w:r>
            <w:r w:rsidRPr="008C0B68">
              <w:rPr>
                <w:rFonts w:ascii="Times" w:hAnsi="Times"/>
                <w:iCs/>
              </w:rPr>
              <w:t xml:space="preserve"> godzin</w:t>
            </w:r>
            <w:r w:rsidR="001528A9" w:rsidRPr="008C0B68">
              <w:rPr>
                <w:rFonts w:ascii="Times" w:hAnsi="Times"/>
                <w:iCs/>
              </w:rPr>
              <w:t>y</w:t>
            </w:r>
            <w:r w:rsidRPr="008C0B68">
              <w:rPr>
                <w:rFonts w:ascii="Times" w:hAnsi="Times"/>
                <w:iCs/>
              </w:rPr>
              <w:t xml:space="preserve">, co odpowiada </w:t>
            </w:r>
            <w:r w:rsidR="001528A9" w:rsidRPr="008C0B68">
              <w:rPr>
                <w:rFonts w:ascii="Times" w:hAnsi="Times"/>
                <w:iCs/>
              </w:rPr>
              <w:t>0,</w:t>
            </w:r>
            <w:r w:rsidR="00DB619C" w:rsidRPr="008C0B68">
              <w:rPr>
                <w:rFonts w:ascii="Times" w:hAnsi="Times"/>
                <w:iCs/>
              </w:rPr>
              <w:t>5</w:t>
            </w:r>
            <w:r w:rsidR="001528A9" w:rsidRPr="008C0B68">
              <w:rPr>
                <w:rFonts w:ascii="Times" w:hAnsi="Times"/>
                <w:iCs/>
              </w:rPr>
              <w:t>6</w:t>
            </w:r>
            <w:r w:rsidRPr="008C0B68">
              <w:rPr>
                <w:rFonts w:ascii="Times" w:hAnsi="Times"/>
                <w:iCs/>
              </w:rPr>
              <w:t xml:space="preserve"> punkt</w:t>
            </w:r>
            <w:r w:rsidR="001528A9" w:rsidRPr="008C0B68">
              <w:rPr>
                <w:rFonts w:ascii="Times" w:hAnsi="Times"/>
                <w:iCs/>
              </w:rPr>
              <w:t>u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>5.Bilans nakładu pracy studenta o charakterze praktycznym: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8C0B68">
              <w:rPr>
                <w:rFonts w:ascii="Times" w:hAnsi="Times"/>
                <w:iCs/>
              </w:rPr>
              <w:t xml:space="preserve">- udział w </w:t>
            </w:r>
            <w:r w:rsidR="001F4255" w:rsidRPr="008C0B68">
              <w:rPr>
                <w:rFonts w:ascii="Times" w:hAnsi="Times"/>
                <w:iCs/>
              </w:rPr>
              <w:t>seminariach</w:t>
            </w:r>
            <w:r w:rsidRPr="008C0B68">
              <w:rPr>
                <w:rFonts w:ascii="Times" w:hAnsi="Times"/>
                <w:iCs/>
              </w:rPr>
              <w:t xml:space="preserve">: </w:t>
            </w:r>
            <w:r w:rsidR="00A26FCA" w:rsidRPr="008C0B68">
              <w:rPr>
                <w:rFonts w:ascii="Times" w:hAnsi="Times"/>
                <w:iCs/>
              </w:rPr>
              <w:t>3</w:t>
            </w:r>
            <w:r w:rsidR="001528A9" w:rsidRPr="008C0B68">
              <w:rPr>
                <w:rFonts w:ascii="Times" w:hAnsi="Times"/>
                <w:iCs/>
              </w:rPr>
              <w:t>0</w:t>
            </w:r>
            <w:r w:rsidRPr="008C0B68">
              <w:rPr>
                <w:rFonts w:ascii="Times" w:hAnsi="Times"/>
                <w:iCs/>
              </w:rPr>
              <w:t xml:space="preserve"> godzin</w:t>
            </w:r>
          </w:p>
          <w:p w:rsidR="001528A9" w:rsidRPr="008C0B68" w:rsidRDefault="001528A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8C0B68">
              <w:rPr>
                <w:rFonts w:ascii="Times" w:hAnsi="Times"/>
                <w:iCs/>
              </w:rPr>
              <w:t>- udział w zajęciach praktycznych: 20 godzin</w:t>
            </w:r>
          </w:p>
          <w:p w:rsidR="00630AB9" w:rsidRPr="008C0B68" w:rsidRDefault="00630AB9" w:rsidP="008C0B68">
            <w:pPr>
              <w:widowControl w:val="0"/>
              <w:spacing w:after="0" w:line="240" w:lineRule="auto"/>
              <w:jc w:val="both"/>
              <w:rPr>
                <w:rFonts w:ascii="Times" w:hAnsi="Times"/>
                <w:iCs/>
              </w:rPr>
            </w:pPr>
            <w:r w:rsidRPr="008C0B68">
              <w:rPr>
                <w:rFonts w:ascii="Times" w:hAnsi="Times"/>
                <w:iCs/>
              </w:rPr>
              <w:t xml:space="preserve">Łączny nakład pracy studenta o charakterze praktycznym wynosi </w:t>
            </w:r>
            <w:r w:rsidRPr="008C0B68">
              <w:rPr>
                <w:rFonts w:ascii="Times" w:hAnsi="Times"/>
                <w:iCs/>
              </w:rPr>
              <w:br/>
            </w:r>
            <w:r w:rsidR="00A26FCA" w:rsidRPr="008C0B68">
              <w:rPr>
                <w:rFonts w:ascii="Times" w:hAnsi="Times"/>
                <w:iCs/>
              </w:rPr>
              <w:t>5</w:t>
            </w:r>
            <w:r w:rsidR="001528A9" w:rsidRPr="008C0B68">
              <w:rPr>
                <w:rFonts w:ascii="Times" w:hAnsi="Times"/>
                <w:iCs/>
              </w:rPr>
              <w:t>0</w:t>
            </w:r>
            <w:r w:rsidRPr="008C0B68">
              <w:rPr>
                <w:rFonts w:ascii="Times" w:hAnsi="Times"/>
                <w:iCs/>
              </w:rPr>
              <w:t xml:space="preserve"> godzin, co odpowiada </w:t>
            </w:r>
            <w:r w:rsidR="00A26FCA" w:rsidRPr="008C0B68">
              <w:rPr>
                <w:rFonts w:ascii="Times" w:hAnsi="Times"/>
                <w:iCs/>
              </w:rPr>
              <w:t xml:space="preserve">2 </w:t>
            </w:r>
            <w:r w:rsidRPr="008C0B68">
              <w:rPr>
                <w:rFonts w:ascii="Times" w:hAnsi="Times"/>
                <w:iCs/>
              </w:rPr>
              <w:t>punkt</w:t>
            </w:r>
            <w:r w:rsidR="00A26FCA" w:rsidRPr="008C0B68">
              <w:rPr>
                <w:rFonts w:ascii="Times" w:hAnsi="Times"/>
                <w:iCs/>
              </w:rPr>
              <w:t>om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630AB9" w:rsidRPr="008C0B68" w:rsidRDefault="00630AB9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</w:p>
        </w:tc>
      </w:tr>
      <w:tr w:rsidR="00495E5A" w:rsidRPr="008C0B68" w:rsidTr="2102A64F">
        <w:tc>
          <w:tcPr>
            <w:tcW w:w="2943" w:type="dxa"/>
          </w:tcPr>
          <w:p w:rsidR="00495E5A" w:rsidRPr="008C0B68" w:rsidRDefault="00495E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lastRenderedPageBreak/>
              <w:t>Efekty kształcenia – wiedza</w:t>
            </w:r>
          </w:p>
          <w:p w:rsidR="00495E5A" w:rsidRPr="008C0B68" w:rsidRDefault="00495E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6521" w:type="dxa"/>
          </w:tcPr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Student: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W1: Zna i rozumie zasady promocji zdrowia i profilaktyki zdrowotnej. (C.W1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4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 xml:space="preserve">W2: 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 xml:space="preserve">Zna i rozumie </w:t>
            </w:r>
            <w:r w:rsidR="00DB619C" w:rsidRPr="008C0B68">
              <w:rPr>
                <w:rFonts w:ascii="Times" w:eastAsia="Times New Roman" w:hAnsi="Times"/>
                <w:bCs/>
              </w:rPr>
              <w:t>zadania położnej w promocji zdrowia i zasady konstruowania programów promocji zdrowia</w:t>
            </w:r>
            <w:r w:rsidR="000F4A9F">
              <w:rPr>
                <w:rFonts w:ascii="Times" w:eastAsia="Times New Roman" w:hAnsi="Times"/>
                <w:bCs/>
              </w:rPr>
              <w:t xml:space="preserve"> </w:t>
            </w:r>
            <w:r w:rsidRPr="008C0B68">
              <w:rPr>
                <w:rFonts w:ascii="Times" w:hAnsi="Times" w:cs="Times New Roman"/>
                <w:color w:val="000000" w:themeColor="text1"/>
              </w:rPr>
              <w:t>(C.W1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5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A3222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W3: Zna i rozumie strategie promocji zdrowia o zasięgu lokalnym, krajowym i światow</w:t>
            </w:r>
            <w:r w:rsidR="000F4A9F">
              <w:rPr>
                <w:rFonts w:ascii="Times" w:hAnsi="Times" w:cs="Times New Roman"/>
                <w:color w:val="000000" w:themeColor="text1"/>
              </w:rPr>
              <w:t xml:space="preserve">ym </w:t>
            </w:r>
            <w:r w:rsidRPr="008C0B68">
              <w:rPr>
                <w:rFonts w:ascii="Times" w:hAnsi="Times" w:cs="Times New Roman"/>
                <w:color w:val="000000" w:themeColor="text1"/>
              </w:rPr>
              <w:t>(C.W1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6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</w:tc>
      </w:tr>
      <w:tr w:rsidR="00495E5A" w:rsidRPr="008C0B68" w:rsidTr="2102A64F">
        <w:trPr>
          <w:trHeight w:val="1918"/>
        </w:trPr>
        <w:tc>
          <w:tcPr>
            <w:tcW w:w="2943" w:type="dxa"/>
          </w:tcPr>
          <w:p w:rsidR="00495E5A" w:rsidRPr="008C0B68" w:rsidRDefault="00495E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Efekty kształcenia – umiejętności</w:t>
            </w:r>
          </w:p>
        </w:tc>
        <w:tc>
          <w:tcPr>
            <w:tcW w:w="6521" w:type="dxa"/>
          </w:tcPr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 xml:space="preserve">Student: 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 xml:space="preserve">U1: Potrafi 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oceniać potencjał zdrowotny kobiety i jej rodziny z rozpoznaniem czynników ryzyka chorób wynikających ze stylu życia oraz uczyć kobietę samokontroli stanu zdrowia</w:t>
            </w:r>
            <w:r w:rsidR="000F4A9F">
              <w:rPr>
                <w:rFonts w:ascii="Times" w:hAnsi="Times" w:cs="Times New Roman"/>
                <w:color w:val="000000" w:themeColor="text1"/>
              </w:rPr>
              <w:t xml:space="preserve"> (</w:t>
            </w:r>
            <w:r w:rsidRPr="008C0B68">
              <w:rPr>
                <w:rFonts w:ascii="Times" w:hAnsi="Times" w:cs="Times New Roman"/>
                <w:color w:val="000000" w:themeColor="text1"/>
              </w:rPr>
              <w:t>C.U2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5</w:t>
            </w:r>
            <w:r w:rsidR="000F4A9F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 xml:space="preserve">U2: </w:t>
            </w:r>
            <w:r w:rsidR="00EB485A" w:rsidRPr="008C0B68">
              <w:rPr>
                <w:rFonts w:ascii="Times" w:hAnsi="Times" w:cs="Times New Roman"/>
                <w:color w:val="000000" w:themeColor="text1"/>
              </w:rPr>
              <w:t xml:space="preserve">Potrafi 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opracowywać i wdrażać indywidualne programy promocji zdrowia jednostek, rodzin i grup społecznych</w:t>
            </w:r>
            <w:r w:rsidR="000F4A9F">
              <w:rPr>
                <w:rFonts w:ascii="Times" w:hAnsi="Times" w:cs="Times New Roman"/>
                <w:color w:val="000000" w:themeColor="text1"/>
              </w:rPr>
              <w:t xml:space="preserve"> (</w:t>
            </w:r>
            <w:r w:rsidRPr="008C0B68">
              <w:rPr>
                <w:rFonts w:ascii="Times" w:hAnsi="Times" w:cs="Times New Roman"/>
                <w:color w:val="000000" w:themeColor="text1"/>
              </w:rPr>
              <w:t>C.U</w:t>
            </w:r>
            <w:r w:rsidR="00DB619C" w:rsidRPr="008C0B68">
              <w:rPr>
                <w:rFonts w:ascii="Times" w:hAnsi="Times" w:cs="Times New Roman"/>
                <w:color w:val="000000" w:themeColor="text1"/>
              </w:rPr>
              <w:t>26</w:t>
            </w:r>
            <w:r w:rsidR="000F4A9F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DB619C" w:rsidRPr="008C0B68" w:rsidRDefault="00DB619C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495E5A" w:rsidRPr="008C0B68" w:rsidTr="2102A64F">
        <w:tc>
          <w:tcPr>
            <w:tcW w:w="2943" w:type="dxa"/>
          </w:tcPr>
          <w:p w:rsidR="00495E5A" w:rsidRPr="008C0B68" w:rsidRDefault="00495E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Efekty kształcenia – kompetencje społeczne</w:t>
            </w:r>
          </w:p>
          <w:p w:rsidR="00EB485A" w:rsidRPr="008C0B68" w:rsidRDefault="00EB48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  <w:p w:rsidR="00EB485A" w:rsidRPr="008C0B68" w:rsidRDefault="00EB485A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6521" w:type="dxa"/>
          </w:tcPr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Student: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 xml:space="preserve">K1: Jest gotów do kierowania się dobrem pacjenta, poszanowania godności i autonomii osób powierzonych opiece, okazywania zrozumienia dla różnic światopoglądowych i kulturowych oraz empatii w relacji </w:t>
            </w:r>
            <w:r w:rsidR="000F4A9F">
              <w:rPr>
                <w:rFonts w:ascii="Times" w:hAnsi="Times" w:cs="Times New Roman"/>
                <w:color w:val="000000" w:themeColor="text1"/>
              </w:rPr>
              <w:t>z pacjentem i jego rodziną.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1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K2: Jest gotów do pr</w:t>
            </w:r>
            <w:r w:rsidR="000F4A9F">
              <w:rPr>
                <w:rFonts w:ascii="Times" w:hAnsi="Times" w:cs="Times New Roman"/>
                <w:color w:val="000000" w:themeColor="text1"/>
              </w:rPr>
              <w:t>zestrzegania praw pacjenta.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2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K3: Jest gotów do samodzielnego i rzetelnego wykonywania zawodu zgodnie z zasadami etyki, w tym przestrzegania wartości i powinności moraln</w:t>
            </w:r>
            <w:r w:rsidR="000F4A9F">
              <w:rPr>
                <w:rFonts w:ascii="Times" w:hAnsi="Times" w:cs="Times New Roman"/>
                <w:color w:val="000000" w:themeColor="text1"/>
              </w:rPr>
              <w:t>ych w opiece nad pacjentem.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3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K4: Jest gotów do ponoszenia odpowiedzialności za wyk</w:t>
            </w:r>
            <w:r w:rsidR="000F4A9F">
              <w:rPr>
                <w:rFonts w:ascii="Times" w:hAnsi="Times" w:cs="Times New Roman"/>
                <w:color w:val="000000" w:themeColor="text1"/>
              </w:rPr>
              <w:t>onywane czynności zawodowe.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4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).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K5: Jest gotów do zasięgania opinii ekspertów w przypadku trudności z samodzie</w:t>
            </w:r>
            <w:r w:rsidR="000F4A9F">
              <w:rPr>
                <w:rFonts w:ascii="Times" w:hAnsi="Times" w:cs="Times New Roman"/>
                <w:color w:val="000000" w:themeColor="text1"/>
              </w:rPr>
              <w:t>lnym rozwiązaniem problemu.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5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BC4F7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K6: Jest gotów do przewidywania i uwzględniania czynników wpływających na</w:t>
            </w:r>
            <w:r w:rsidR="000F4A9F">
              <w:rPr>
                <w:rFonts w:ascii="Times" w:hAnsi="Times" w:cs="Times New Roman"/>
                <w:color w:val="000000" w:themeColor="text1"/>
              </w:rPr>
              <w:t xml:space="preserve"> reakcje własne i pacjenta.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6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A32220" w:rsidRPr="008C0B68" w:rsidRDefault="00BC4F7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 Unicode MS" w:hAnsi="Times" w:cs="Arial Unicode MS"/>
                <w:color w:val="000000" w:themeColor="text1"/>
              </w:rPr>
            </w:pPr>
            <w:r w:rsidRPr="008C0B68">
              <w:rPr>
                <w:rFonts w:ascii="Times" w:hAnsi="Times" w:cs="Times New Roman"/>
                <w:color w:val="000000" w:themeColor="text1"/>
              </w:rPr>
              <w:t>K7: Jest gotów do dostrzegania i rozpoznawania własnych ograniczeń w zakresie wiedzy, umiejętności i kompetencji społecznych oraz dokonywania samooceny deficy</w:t>
            </w:r>
            <w:r w:rsidR="000F4A9F">
              <w:rPr>
                <w:rFonts w:ascii="Times" w:hAnsi="Times" w:cs="Times New Roman"/>
                <w:color w:val="000000" w:themeColor="text1"/>
              </w:rPr>
              <w:t>tów i potrzeb edukacyjnych. (K.</w:t>
            </w:r>
            <w:r w:rsidRPr="008C0B68">
              <w:rPr>
                <w:rFonts w:ascii="Times" w:hAnsi="Times" w:cs="Times New Roman"/>
                <w:color w:val="000000" w:themeColor="text1"/>
              </w:rPr>
              <w:t>7</w:t>
            </w:r>
            <w:r w:rsidR="000F4A9F">
              <w:rPr>
                <w:rFonts w:ascii="Times" w:hAnsi="Times" w:cs="Times New Roman"/>
                <w:color w:val="000000" w:themeColor="text1"/>
              </w:rPr>
              <w:t>.</w:t>
            </w:r>
            <w:r w:rsidRPr="008C0B68">
              <w:rPr>
                <w:rFonts w:ascii="Times" w:hAnsi="Times" w:cs="Times New Roman"/>
                <w:color w:val="000000" w:themeColor="text1"/>
              </w:rPr>
              <w:t>)</w:t>
            </w:r>
          </w:p>
          <w:p w:rsidR="00A32220" w:rsidRPr="008C0B68" w:rsidRDefault="00A32220" w:rsidP="008C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Metody dydaktyczne</w:t>
            </w:r>
          </w:p>
        </w:tc>
        <w:tc>
          <w:tcPr>
            <w:tcW w:w="6521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b/>
                <w:color w:val="000000" w:themeColor="text1"/>
              </w:rPr>
              <w:t>WYKŁAD</w:t>
            </w:r>
          </w:p>
          <w:p w:rsidR="007A7BEB" w:rsidRPr="008C0B68" w:rsidRDefault="007A7BEB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>wykład informacyjny</w:t>
            </w:r>
          </w:p>
          <w:p w:rsidR="00C10366" w:rsidRPr="008C0B68" w:rsidRDefault="00C10366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 xml:space="preserve">wykład konwersatoryjny </w:t>
            </w:r>
          </w:p>
          <w:p w:rsidR="007A7BEB" w:rsidRPr="008C0B68" w:rsidRDefault="001F4255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  <w:t>SEMINARIUM</w:t>
            </w:r>
          </w:p>
          <w:p w:rsidR="007A7BEB" w:rsidRPr="008C0B68" w:rsidRDefault="007A7BEB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iCs/>
                <w:color w:val="000000" w:themeColor="text1"/>
              </w:rPr>
              <w:t>analiza przypadków</w:t>
            </w:r>
          </w:p>
          <w:p w:rsidR="007A7BEB" w:rsidRPr="008C0B68" w:rsidRDefault="007A7BEB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iCs/>
                <w:color w:val="000000" w:themeColor="text1"/>
              </w:rPr>
              <w:t>dyskusja dydaktyczna</w:t>
            </w:r>
          </w:p>
          <w:p w:rsidR="00C10366" w:rsidRPr="008C0B68" w:rsidRDefault="00C10366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 xml:space="preserve">burza mózgów </w:t>
            </w:r>
          </w:p>
          <w:p w:rsidR="00D27FB8" w:rsidRPr="008C0B68" w:rsidRDefault="00D27FB8" w:rsidP="008C0B68">
            <w:pPr>
              <w:numPr>
                <w:ilvl w:val="0"/>
                <w:numId w:val="5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 xml:space="preserve">tworzenie projektów </w:t>
            </w:r>
          </w:p>
          <w:p w:rsidR="00D27FB8" w:rsidRPr="008C0B68" w:rsidRDefault="00D27FB8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b/>
                <w:color w:val="000000" w:themeColor="text1"/>
              </w:rPr>
              <w:lastRenderedPageBreak/>
              <w:t xml:space="preserve">ZAJĘCIA PRAKTYCZNE </w:t>
            </w:r>
          </w:p>
          <w:p w:rsidR="00C61606" w:rsidRPr="008C0B68" w:rsidRDefault="00907B68" w:rsidP="008C0B6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>studium przypadku</w:t>
            </w:r>
          </w:p>
          <w:p w:rsidR="000D00FA" w:rsidRPr="008C0B68" w:rsidRDefault="000D00FA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  <w:t>SAMOKSZTAŁCENIE</w:t>
            </w:r>
          </w:p>
          <w:p w:rsidR="000D00FA" w:rsidRPr="008C0B68" w:rsidRDefault="000D00FA" w:rsidP="008C0B6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 xml:space="preserve">praca z artykułami naukowymi </w:t>
            </w:r>
          </w:p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lastRenderedPageBreak/>
              <w:t>Wymagania wstępne</w:t>
            </w:r>
          </w:p>
        </w:tc>
        <w:tc>
          <w:tcPr>
            <w:tcW w:w="6521" w:type="dxa"/>
          </w:tcPr>
          <w:p w:rsidR="007A7BEB" w:rsidRPr="008C0B68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i/>
                <w:color w:val="000000" w:themeColor="text1"/>
              </w:rPr>
            </w:pPr>
            <w:r w:rsidRPr="008C0B68">
              <w:rPr>
                <w:rFonts w:ascii="Times" w:eastAsia="Calibri" w:hAnsi="Times" w:cs="Times New Roman"/>
                <w:i/>
                <w:color w:val="000000" w:themeColor="text1"/>
              </w:rPr>
              <w:t xml:space="preserve">Wiedza ogólna z zakresu anatomii i fizjologii oraz nauk społecznych </w:t>
            </w: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Skrócony opis przedmiotu</w:t>
            </w:r>
          </w:p>
        </w:tc>
        <w:tc>
          <w:tcPr>
            <w:tcW w:w="6521" w:type="dxa"/>
          </w:tcPr>
          <w:p w:rsidR="007A7BEB" w:rsidRPr="008C0B68" w:rsidRDefault="00D27FB8" w:rsidP="008C0B68">
            <w:pPr>
              <w:spacing w:line="240" w:lineRule="auto"/>
              <w:rPr>
                <w:rFonts w:ascii="Times" w:eastAsia="Calibri" w:hAnsi="Times" w:cs="Times New Roman"/>
                <w:b/>
                <w:i/>
                <w:color w:val="000000" w:themeColor="text1"/>
              </w:rPr>
            </w:pPr>
            <w:r w:rsidRPr="008C0B68">
              <w:rPr>
                <w:rFonts w:ascii="Times" w:eastAsia="Calibri" w:hAnsi="Times" w:cs="Times New Roman"/>
                <w:color w:val="000000" w:themeColor="text1"/>
              </w:rPr>
              <w:t xml:space="preserve">Przedmiot dostarcza wiedzę z zakresu szeroko rozumianej promocji zdrowia, uwzględnia działania z obszaru profilaktyki i edukacji zdrowotnej. Uwzględnia zadania współczesnego pielęgniarstwa </w:t>
            </w:r>
            <w:r w:rsidR="00DB619C" w:rsidRPr="008C0B68">
              <w:rPr>
                <w:rFonts w:ascii="Times" w:eastAsia="Calibri" w:hAnsi="Times" w:cs="Times New Roman"/>
                <w:color w:val="000000" w:themeColor="text1"/>
              </w:rPr>
              <w:t xml:space="preserve">i położnictwa </w:t>
            </w:r>
            <w:r w:rsidRPr="008C0B68">
              <w:rPr>
                <w:rFonts w:ascii="Times" w:eastAsia="Calibri" w:hAnsi="Times" w:cs="Times New Roman"/>
                <w:color w:val="000000" w:themeColor="text1"/>
              </w:rPr>
              <w:t>w kształtowaniu zdrowego stylu życia zarówno jednostek jak i grup społecznych.</w:t>
            </w: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</w:rPr>
              <w:t>Pełny opis przedmiotu</w:t>
            </w:r>
          </w:p>
        </w:tc>
        <w:tc>
          <w:tcPr>
            <w:tcW w:w="6521" w:type="dxa"/>
          </w:tcPr>
          <w:p w:rsidR="0099632F" w:rsidRPr="008C0B68" w:rsidRDefault="0099632F" w:rsidP="008C0B68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 New Roman"/>
                <w:color w:val="000000" w:themeColor="text1"/>
              </w:rPr>
            </w:pP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 xml:space="preserve">Wykłady są teoretycznym wprowadzeniem w tematykę przedmiotu, a jednocześnie przygotowaniem do odbycia ćwiczeń i zajęć praktycznych. Dostarczają wiedzy definiującej zdrowie, modele zdrowia oraz promocję zdrowia i jej determinanty. Przedstawiają rozwój promocji zdrowia w Polsce i na świecie, a także jej cele i założenia. Kluczowym narzędziem promocji zdrowia jest edukacja zdrowotna, dlatego też tematyka wykładów obejmuje zapoznanie z  modelami edukacji. Ponadto z obszaru profilaktyki omówione są główne zagrożenia zdrowotne. W ramach ćwiczeń studenci uczą się stawiać  diagnozę dla potrzeb promocji zdrowia oraz diagnozy i </w:t>
            </w:r>
            <w:r w:rsidRPr="008C0B68">
              <w:rPr>
                <w:rFonts w:ascii="Times" w:eastAsia="Calibri" w:hAnsi="Times" w:cs="Times New Roman"/>
                <w:noProof/>
                <w:color w:val="000000" w:themeColor="text1"/>
              </w:rPr>
              <w:t xml:space="preserve">interwencje pielęgniarskie z zastosowaniem ICNP odnoszące się do  stylu życia pacjenta/klienta, rodziny. Zapoznają się z narzędziami wykorzystywanymi dla potrzeb promocji zdrowia, budowaniem programów zdrowotnych oraz zapoznają się z programami tworzonymi przez WHO dla społeczności lokalnych. Ważnym zagadnieniem jest zapoznanie z </w:t>
            </w:r>
            <w:r w:rsidRPr="008C0B68">
              <w:rPr>
                <w:rFonts w:ascii="Times" w:hAnsi="Times" w:cs="Times New Roman"/>
                <w:color w:val="000000" w:themeColor="text1"/>
              </w:rPr>
              <w:t xml:space="preserve">uwarunkowaniami i działaniami kształtującymi </w:t>
            </w:r>
            <w:proofErr w:type="spellStart"/>
            <w:r w:rsidRPr="008C0B68">
              <w:rPr>
                <w:rFonts w:ascii="Times" w:hAnsi="Times" w:cs="Times New Roman"/>
                <w:color w:val="000000" w:themeColor="text1"/>
              </w:rPr>
              <w:t>zdrowie</w:t>
            </w:r>
            <w:r w:rsidRPr="008C0B68">
              <w:rPr>
                <w:rFonts w:ascii="Times" w:hAnsi="Times" w:cs="Times New Roman"/>
                <w:noProof/>
                <w:color w:val="000000" w:themeColor="text1"/>
              </w:rPr>
              <w:t>oraz</w:t>
            </w:r>
            <w:proofErr w:type="spellEnd"/>
            <w:r w:rsidRPr="008C0B68">
              <w:rPr>
                <w:rFonts w:ascii="Times" w:hAnsi="Times" w:cs="Times New Roman"/>
                <w:noProof/>
                <w:color w:val="000000" w:themeColor="text1"/>
              </w:rPr>
              <w:t xml:space="preserve"> zachowaniami zdrowotnymi i metodami ich kształtowania.</w:t>
            </w:r>
            <w:r w:rsidRPr="008C0B68">
              <w:rPr>
                <w:rFonts w:ascii="Times" w:eastAsia="Calibri" w:hAnsi="Times" w:cs="Times New Roman"/>
                <w:noProof/>
                <w:color w:val="000000" w:themeColor="text1"/>
              </w:rPr>
              <w:t>Zajęcia praktyczne stanowia integralną część przedmiotu i mają za zadanie utrwalenie wiedzy i umiejetności praktycznych  z zakresu promocji zdrwia</w:t>
            </w:r>
            <w:r w:rsidRPr="008C0B68">
              <w:rPr>
                <w:rFonts w:ascii="Times" w:eastAsia="Times New Roman" w:hAnsi="Times" w:cs="Times New Roman"/>
                <w:color w:val="000000" w:themeColor="text1"/>
              </w:rPr>
              <w:t>.</w:t>
            </w: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Literatura</w:t>
            </w:r>
          </w:p>
        </w:tc>
        <w:tc>
          <w:tcPr>
            <w:tcW w:w="6521" w:type="dxa"/>
          </w:tcPr>
          <w:p w:rsidR="007A7BEB" w:rsidRPr="008C0B68" w:rsidRDefault="2102A64F" w:rsidP="2102A64F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Times" w:hAnsi="Times" w:cs="Times"/>
              </w:rPr>
            </w:pPr>
            <w:r w:rsidRPr="2102A64F">
              <w:rPr>
                <w:rFonts w:ascii="Times" w:eastAsia="Times" w:hAnsi="Times" w:cs="Times"/>
              </w:rPr>
              <w:t>Literatura obowiązkowa: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</w:pPr>
            <w:r w:rsidRPr="2102A64F">
              <w:rPr>
                <w:rFonts w:ascii="Times" w:eastAsia="Times" w:hAnsi="Times" w:cs="Times"/>
              </w:rPr>
              <w:t xml:space="preserve">Andruszkiewicz A. Banaszkiewicz M.: Promocja Zdrowia, Wydawnictwo </w:t>
            </w:r>
            <w:proofErr w:type="spellStart"/>
            <w:r w:rsidRPr="2102A64F">
              <w:rPr>
                <w:rFonts w:ascii="Times" w:eastAsia="Times" w:hAnsi="Times" w:cs="Times"/>
              </w:rPr>
              <w:t>Czelej</w:t>
            </w:r>
            <w:proofErr w:type="spellEnd"/>
            <w:r w:rsidRPr="2102A64F">
              <w:rPr>
                <w:rFonts w:ascii="Times" w:eastAsia="Times" w:hAnsi="Times" w:cs="Times"/>
              </w:rPr>
              <w:t>, Lublin 2008</w:t>
            </w:r>
          </w:p>
          <w:p w:rsidR="007A7BEB" w:rsidRPr="003D3D23" w:rsidRDefault="2102A64F" w:rsidP="2102A64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</w:pPr>
            <w:r w:rsidRPr="2102A64F">
              <w:rPr>
                <w:rFonts w:ascii="Times" w:eastAsia="Times" w:hAnsi="Times" w:cs="Times"/>
              </w:rPr>
              <w:t>Wojnarowska B. (red.): Edukacja zdrowotna, Wydawnic</w:t>
            </w:r>
            <w:r w:rsidR="003D3D23">
              <w:rPr>
                <w:rFonts w:ascii="Times" w:eastAsia="Times" w:hAnsi="Times" w:cs="Times"/>
              </w:rPr>
              <w:t>two Naukowe PWN Warszawa, 2007.</w:t>
            </w:r>
          </w:p>
          <w:p w:rsidR="007A7BEB" w:rsidRPr="008C0B68" w:rsidRDefault="2102A64F" w:rsidP="2102A64F">
            <w:pPr>
              <w:autoSpaceDE w:val="0"/>
              <w:autoSpaceDN w:val="0"/>
              <w:adjustRightInd w:val="0"/>
              <w:rPr>
                <w:rFonts w:ascii="Times" w:eastAsia="Times" w:hAnsi="Times" w:cs="Times"/>
              </w:rPr>
            </w:pPr>
            <w:r w:rsidRPr="2102A64F">
              <w:rPr>
                <w:rFonts w:ascii="Times" w:eastAsia="Times" w:hAnsi="Times" w:cs="Times"/>
              </w:rPr>
              <w:t>Literatura do samokształcenia: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2102A64F">
              <w:rPr>
                <w:rFonts w:ascii="Times" w:eastAsia="Times" w:hAnsi="Times" w:cs="Times"/>
              </w:rPr>
              <w:t xml:space="preserve">Siwiński, Wiesław, and Renata </w:t>
            </w:r>
            <w:proofErr w:type="spellStart"/>
            <w:r w:rsidRPr="2102A64F">
              <w:rPr>
                <w:rFonts w:ascii="Times" w:eastAsia="Times" w:hAnsi="Times" w:cs="Times"/>
              </w:rPr>
              <w:t>Rasińska</w:t>
            </w:r>
            <w:proofErr w:type="spellEnd"/>
            <w:r w:rsidRPr="2102A64F">
              <w:rPr>
                <w:rFonts w:ascii="Times" w:eastAsia="Times" w:hAnsi="Times" w:cs="Times"/>
              </w:rPr>
              <w:t>. "Aktywność fizyczna jako zasadniczy cel stylu życia i zdrowia człowieka." Pielęgniarstwo polskie 2.56 (2015): 181-189.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2102A64F">
              <w:rPr>
                <w:rFonts w:ascii="Times" w:eastAsia="Times" w:hAnsi="Times" w:cs="Times"/>
              </w:rPr>
              <w:t xml:space="preserve">Marchewka, Anna, and Magdalena </w:t>
            </w:r>
            <w:proofErr w:type="spellStart"/>
            <w:r w:rsidRPr="2102A64F">
              <w:rPr>
                <w:rFonts w:ascii="Times" w:eastAsia="Times" w:hAnsi="Times" w:cs="Times"/>
              </w:rPr>
              <w:t>Jungiewicz</w:t>
            </w:r>
            <w:proofErr w:type="spellEnd"/>
            <w:r w:rsidRPr="2102A64F">
              <w:rPr>
                <w:rFonts w:ascii="Times" w:eastAsia="Times" w:hAnsi="Times" w:cs="Times"/>
              </w:rPr>
              <w:t>. "Aktywność fizyczna w młodości a jakość życia w starszym wieku." Gerontologia Polska 16.2 (2008): 127-130.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2102A64F">
              <w:rPr>
                <w:rFonts w:ascii="Times" w:eastAsia="Times" w:hAnsi="Times" w:cs="Times"/>
              </w:rPr>
              <w:t>Plewa, Michał, and Andrzej Markiewicz. "Aktywność fizyczna w profilaktyce i leczeniu otyłości." Endokrynologia, Otyłość i Zaburzenia Przemiany Materii 2.1 (2006): 30-37.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2102A64F">
              <w:rPr>
                <w:rFonts w:ascii="Times" w:eastAsia="Times" w:hAnsi="Times" w:cs="Times"/>
              </w:rPr>
              <w:t>Kleinrok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, Andrzej, and Beata Głowa. "Otyłość i jej znaczenie w chorobach układu krążenia Cz. 1. Otyłość jako czynnik ryzyka." </w:t>
            </w:r>
            <w:proofErr w:type="spellStart"/>
            <w:r w:rsidRPr="2102A64F">
              <w:rPr>
                <w:rFonts w:ascii="Times" w:eastAsia="Times" w:hAnsi="Times" w:cs="Times"/>
              </w:rPr>
              <w:t>Medical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2102A64F">
              <w:rPr>
                <w:rFonts w:ascii="Times" w:eastAsia="Times" w:hAnsi="Times" w:cs="Times"/>
              </w:rPr>
              <w:t>Review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 2 (2015): 165-172.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2102A64F">
              <w:rPr>
                <w:rFonts w:ascii="Times" w:eastAsia="Times" w:hAnsi="Times" w:cs="Times"/>
              </w:rPr>
              <w:t>Kleinrok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, Andrzej, and Beata Głowa. "Otyłość i jej znaczenie w chorobach układu krążenia Cz. 2. Paradoks otyłości." </w:t>
            </w:r>
            <w:proofErr w:type="spellStart"/>
            <w:r w:rsidRPr="2102A64F">
              <w:rPr>
                <w:rFonts w:ascii="Times" w:eastAsia="Times" w:hAnsi="Times" w:cs="Times"/>
              </w:rPr>
              <w:t>Medical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2102A64F">
              <w:rPr>
                <w:rFonts w:ascii="Times" w:eastAsia="Times" w:hAnsi="Times" w:cs="Times"/>
              </w:rPr>
              <w:t>Review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 2 (2015): 173-179.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2102A64F">
              <w:rPr>
                <w:rFonts w:ascii="Times" w:eastAsia="Times" w:hAnsi="Times" w:cs="Times"/>
              </w:rPr>
              <w:t xml:space="preserve">Lech, Magdalena, and Lucyna Ostrowska. "Psychologiczne aspekty otyłości." Forum Zaburzeń Metabolicznych. Vol. 8. </w:t>
            </w:r>
            <w:r w:rsidRPr="2102A64F">
              <w:rPr>
                <w:rFonts w:ascii="Times" w:eastAsia="Times" w:hAnsi="Times" w:cs="Times"/>
              </w:rPr>
              <w:lastRenderedPageBreak/>
              <w:t>No. 2. 2017.</w:t>
            </w:r>
          </w:p>
          <w:p w:rsidR="007A7BEB" w:rsidRPr="008C0B68" w:rsidRDefault="2102A64F" w:rsidP="2102A6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2102A64F">
              <w:rPr>
                <w:rFonts w:ascii="Times" w:eastAsia="Times" w:hAnsi="Times" w:cs="Times"/>
              </w:rPr>
              <w:t xml:space="preserve">Kędzior, A., Jakubek-Kipa, K., Brzuszek, M., &amp; Mazur, A. (2017). Trendy w występowaniu nadwagi i otyłości u dzieci na świecie, w Europie iw Polsce. </w:t>
            </w:r>
            <w:proofErr w:type="spellStart"/>
            <w:r w:rsidRPr="2102A64F">
              <w:rPr>
                <w:rFonts w:ascii="Times" w:eastAsia="Times" w:hAnsi="Times" w:cs="Times"/>
              </w:rPr>
              <w:t>Endokrynol</w:t>
            </w:r>
            <w:proofErr w:type="spellEnd"/>
            <w:r w:rsidRPr="2102A64F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2102A64F">
              <w:rPr>
                <w:rFonts w:ascii="Times" w:eastAsia="Times" w:hAnsi="Times" w:cs="Times"/>
              </w:rPr>
              <w:t>Ped</w:t>
            </w:r>
            <w:proofErr w:type="spellEnd"/>
            <w:r w:rsidRPr="2102A64F">
              <w:rPr>
                <w:rFonts w:ascii="Times" w:eastAsia="Times" w:hAnsi="Times" w:cs="Times"/>
              </w:rPr>
              <w:t>, 1(58), 41-48.</w:t>
            </w:r>
          </w:p>
          <w:p w:rsidR="007A7BEB" w:rsidRPr="008C0B68" w:rsidRDefault="007A7BEB" w:rsidP="2102A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  <w:iCs/>
              </w:rPr>
            </w:pPr>
          </w:p>
        </w:tc>
      </w:tr>
      <w:tr w:rsidR="007A7BEB" w:rsidRPr="008C0B68" w:rsidTr="2102A64F">
        <w:tc>
          <w:tcPr>
            <w:tcW w:w="2943" w:type="dxa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  <w:color w:val="FF0000"/>
              </w:rPr>
            </w:pPr>
            <w:r w:rsidRPr="008C0B68">
              <w:rPr>
                <w:rFonts w:ascii="Times" w:eastAsia="Times New Roman" w:hAnsi="Times" w:cs="Times New Roman"/>
              </w:rPr>
              <w:lastRenderedPageBreak/>
              <w:t>Metody i kryteria oceniania</w:t>
            </w:r>
          </w:p>
        </w:tc>
        <w:tc>
          <w:tcPr>
            <w:tcW w:w="6521" w:type="dxa"/>
          </w:tcPr>
          <w:p w:rsidR="00C40CC3" w:rsidRPr="008C0B68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</w:rPr>
            </w:pPr>
            <w:r w:rsidRPr="008C0B68">
              <w:rPr>
                <w:rFonts w:ascii="Times" w:eastAsia="Calibri" w:hAnsi="Times" w:cs="Times New Roman"/>
                <w:b/>
                <w:bCs/>
              </w:rPr>
              <w:t xml:space="preserve">Egzamin </w:t>
            </w:r>
          </w:p>
          <w:p w:rsidR="0099632F" w:rsidRPr="008C0B68" w:rsidRDefault="0099632F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 xml:space="preserve">Przedmiot kończy się egzaminem </w:t>
            </w:r>
            <w:r w:rsidR="00C61606" w:rsidRPr="008C0B68">
              <w:rPr>
                <w:rFonts w:ascii="Times" w:eastAsia="Times New Roman" w:hAnsi="Times" w:cs="Times New Roman"/>
              </w:rPr>
              <w:t xml:space="preserve">przeprowadzanym za </w:t>
            </w:r>
            <w:r w:rsidR="0052682B" w:rsidRPr="008C0B68">
              <w:rPr>
                <w:rFonts w:ascii="Times" w:eastAsia="Times New Roman" w:hAnsi="Times" w:cs="Times New Roman"/>
              </w:rPr>
              <w:t>pośrednictwem</w:t>
            </w:r>
            <w:r w:rsidR="00C61606" w:rsidRPr="008C0B68">
              <w:rPr>
                <w:rFonts w:ascii="Times" w:eastAsia="Times New Roman" w:hAnsi="Times" w:cs="Times New Roman"/>
              </w:rPr>
              <w:t xml:space="preserve"> platformy Moodle </w:t>
            </w:r>
            <w:r w:rsidRPr="008C0B68">
              <w:rPr>
                <w:rFonts w:ascii="Times" w:eastAsia="Times New Roman" w:hAnsi="Times" w:cs="Times New Roman"/>
              </w:rPr>
              <w:t xml:space="preserve">(test – 40 pytań, </w:t>
            </w:r>
            <w:r w:rsidR="00C61606" w:rsidRPr="008C0B68">
              <w:rPr>
                <w:rFonts w:ascii="Times" w:eastAsia="Times New Roman" w:hAnsi="Times" w:cs="Times New Roman"/>
              </w:rPr>
              <w:t>pytania</w:t>
            </w:r>
            <w:r w:rsidRPr="008C0B68">
              <w:rPr>
                <w:rFonts w:ascii="Times" w:eastAsia="Times New Roman" w:hAnsi="Times" w:cs="Times New Roman"/>
              </w:rPr>
              <w:t xml:space="preserve"> zamknięte</w:t>
            </w:r>
            <w:r w:rsidR="00C61606" w:rsidRPr="008C0B68">
              <w:rPr>
                <w:rFonts w:ascii="Times" w:eastAsia="Times New Roman" w:hAnsi="Times" w:cs="Times New Roman"/>
              </w:rPr>
              <w:t>, jednokrotnego wyboru</w:t>
            </w:r>
            <w:r w:rsidRPr="008C0B68">
              <w:rPr>
                <w:rFonts w:ascii="Times" w:eastAsia="Times New Roman" w:hAnsi="Times" w:cs="Times New Roman"/>
              </w:rPr>
              <w:t>, 1 pkt za pytanie). Warunkiem zaliczeni</w:t>
            </w:r>
            <w:r w:rsidR="001D0795" w:rsidRPr="008C0B68">
              <w:rPr>
                <w:rFonts w:ascii="Times" w:eastAsia="Times New Roman" w:hAnsi="Times" w:cs="Times New Roman"/>
              </w:rPr>
              <w:t>a testu jest uzyskanie minimum 6</w:t>
            </w:r>
            <w:r w:rsidR="001528A9" w:rsidRPr="008C0B68">
              <w:rPr>
                <w:rFonts w:ascii="Times" w:eastAsia="Times New Roman" w:hAnsi="Times" w:cs="Times New Roman"/>
              </w:rPr>
              <w:t>0</w:t>
            </w:r>
            <w:r w:rsidRPr="008C0B68">
              <w:rPr>
                <w:rFonts w:ascii="Times" w:eastAsia="Times New Roman" w:hAnsi="Times" w:cs="Times New Roman"/>
              </w:rPr>
              <w:t xml:space="preserve"> % poprawnych odpowiedzi. </w:t>
            </w:r>
            <w:r w:rsidR="00FB0097" w:rsidRPr="008C0B68">
              <w:rPr>
                <w:rFonts w:ascii="Times" w:eastAsia="Times New Roman" w:hAnsi="Times" w:cs="Times New Roman"/>
              </w:rPr>
              <w:t>(</w:t>
            </w:r>
            <w:r w:rsidR="00C61606" w:rsidRPr="008C0B68">
              <w:rPr>
                <w:rFonts w:ascii="Times" w:hAnsi="Times" w:cs="Times New Roman"/>
              </w:rPr>
              <w:t>W1, W2, W3, U1,</w:t>
            </w:r>
            <w:r w:rsidR="00EB485A" w:rsidRPr="008C0B68">
              <w:rPr>
                <w:rFonts w:ascii="Times" w:hAnsi="Times" w:cs="Times New Roman"/>
              </w:rPr>
              <w:t xml:space="preserve"> U2</w:t>
            </w:r>
            <w:r w:rsidR="00C61606" w:rsidRPr="008C0B68">
              <w:rPr>
                <w:rFonts w:ascii="Times" w:hAnsi="Times" w:cs="Times New Roman"/>
              </w:rPr>
              <w:t>)</w:t>
            </w:r>
            <w:r w:rsidR="00C40CC3" w:rsidRPr="008C0B68">
              <w:rPr>
                <w:rFonts w:ascii="Times" w:hAnsi="Times" w:cs="Times New Roman"/>
              </w:rPr>
              <w:t>.</w:t>
            </w:r>
          </w:p>
          <w:p w:rsidR="00C40CC3" w:rsidRPr="008C0B68" w:rsidRDefault="00C40CC3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Podstawą dopuszczenia do egzaminu jest zaliczenie wykładów, seminariów, zajęć praktycznych i samokształcenia. </w:t>
            </w:r>
          </w:p>
          <w:p w:rsidR="00C40CC3" w:rsidRPr="008C0B68" w:rsidRDefault="00C40CC3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:rsidR="00347939" w:rsidRPr="008C0B68" w:rsidRDefault="00347939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hAnsi="Times" w:cs="Times New Roman"/>
              </w:rPr>
              <w:t>Kryteria oceny testu: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24 - 28 pkt. – dostateczny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29 – 30 pkt. – dostateczny plus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31 - 34 pkt. – dobry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35 - 36 pkt. – dobry plus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38 - 40 pkt. – bardzo dobry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</w:p>
          <w:p w:rsidR="00C61606" w:rsidRPr="008C0B68" w:rsidRDefault="00C61606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wykładów jest obowiązkowe zapoznanie się z ich treścią na platformie Moodle (W1, W2, W3)</w:t>
            </w:r>
            <w:r w:rsidR="00F92A3D" w:rsidRPr="008C0B68">
              <w:rPr>
                <w:rFonts w:ascii="Times" w:eastAsia="Calibri" w:hAnsi="Times" w:cs="Times New Roman"/>
              </w:rPr>
              <w:t>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 xml:space="preserve">Podstawą zaliczenia </w:t>
            </w:r>
            <w:r w:rsidR="001F4255" w:rsidRPr="008C0B68">
              <w:rPr>
                <w:rFonts w:ascii="Times" w:eastAsia="Calibri" w:hAnsi="Times" w:cs="Times New Roman"/>
              </w:rPr>
              <w:t>seminariów</w:t>
            </w:r>
            <w:r w:rsidRPr="008C0B68">
              <w:rPr>
                <w:rFonts w:ascii="Times" w:eastAsia="Calibri" w:hAnsi="Times" w:cs="Times New Roman"/>
              </w:rPr>
              <w:t xml:space="preserve"> jest 100% obecność na </w:t>
            </w:r>
            <w:r w:rsidR="0052682B" w:rsidRPr="008C0B68">
              <w:rPr>
                <w:rFonts w:ascii="Times" w:eastAsia="Calibri" w:hAnsi="Times" w:cs="Times New Roman"/>
              </w:rPr>
              <w:t>seminariach</w:t>
            </w:r>
            <w:r w:rsidRPr="008C0B68">
              <w:rPr>
                <w:rFonts w:ascii="Times" w:eastAsia="Calibri" w:hAnsi="Times" w:cs="Times New Roman"/>
              </w:rPr>
              <w:t xml:space="preserve"> i bieżące wykonywanie zadań przygotowanych przez prowadzącego zajęcia (</w:t>
            </w:r>
            <w:r w:rsidRPr="008C0B68">
              <w:rPr>
                <w:rFonts w:ascii="Times" w:hAnsi="Times" w:cs="Times New Roman"/>
              </w:rPr>
              <w:t>W1, W2, W3, U1, U2, K7).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zajęć praktycznych jest 100% obecność na zajęciach praktycznych i bieżące wykonywanie zadań przewidzianych w programie zajęć (</w:t>
            </w:r>
            <w:r w:rsidRPr="008C0B68">
              <w:rPr>
                <w:rFonts w:ascii="Times" w:hAnsi="Times" w:cs="Times New Roman"/>
              </w:rPr>
              <w:t>W1, W2, W3, U1, U2</w:t>
            </w:r>
            <w:r w:rsidR="00EB485A" w:rsidRPr="008C0B68">
              <w:rPr>
                <w:rFonts w:ascii="Times" w:hAnsi="Times" w:cs="Times New Roman"/>
              </w:rPr>
              <w:t xml:space="preserve">,K1, K2, K3, K4, K5, K6, </w:t>
            </w:r>
            <w:r w:rsidRPr="008C0B68">
              <w:rPr>
                <w:rFonts w:ascii="Times" w:hAnsi="Times" w:cs="Times New Roman"/>
              </w:rPr>
              <w:t>K7).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</w:p>
          <w:p w:rsidR="007A7BEB" w:rsidRPr="008C0B68" w:rsidRDefault="00F92A3D" w:rsidP="008C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samokształcenia jest zapoznanie się z artykułami naukowymi umieszczonymi na platformie Moodle oraz rozwiązanie testu sprawdzającego</w:t>
            </w:r>
            <w:r w:rsidR="00440100" w:rsidRPr="008C0B68">
              <w:rPr>
                <w:rFonts w:ascii="Times" w:eastAsia="Calibri" w:hAnsi="Times" w:cs="Times New Roman"/>
              </w:rPr>
              <w:t>(</w:t>
            </w:r>
            <w:r w:rsidR="00C61606" w:rsidRPr="008C0B68">
              <w:rPr>
                <w:rFonts w:ascii="Times" w:hAnsi="Times" w:cs="Times New Roman"/>
              </w:rPr>
              <w:t>W1, W2, W3</w:t>
            </w:r>
            <w:r w:rsidR="00EB485A" w:rsidRPr="008C0B68">
              <w:rPr>
                <w:rFonts w:ascii="Times" w:hAnsi="Times" w:cs="Times New Roman"/>
              </w:rPr>
              <w:t xml:space="preserve">, </w:t>
            </w:r>
            <w:r w:rsidR="00C61606" w:rsidRPr="008C0B68">
              <w:rPr>
                <w:rFonts w:ascii="Times" w:hAnsi="Times" w:cs="Times New Roman"/>
              </w:rPr>
              <w:t>K7</w:t>
            </w:r>
            <w:r w:rsidR="00440100" w:rsidRPr="008C0B68">
              <w:rPr>
                <w:rFonts w:ascii="Times" w:hAnsi="Times" w:cs="Times New Roman"/>
              </w:rPr>
              <w:t>)</w:t>
            </w:r>
          </w:p>
        </w:tc>
      </w:tr>
    </w:tbl>
    <w:p w:rsidR="0099632F" w:rsidRPr="008C0B68" w:rsidRDefault="0099632F" w:rsidP="008C0B68">
      <w:pPr>
        <w:spacing w:after="120" w:line="240" w:lineRule="auto"/>
        <w:ind w:left="1440"/>
        <w:contextualSpacing/>
        <w:jc w:val="both"/>
        <w:rPr>
          <w:rFonts w:ascii="Times" w:eastAsia="Times New Roman" w:hAnsi="Times" w:cs="Times New Roman"/>
          <w:b/>
        </w:rPr>
      </w:pPr>
    </w:p>
    <w:p w:rsidR="0099632F" w:rsidRPr="008C0B68" w:rsidRDefault="0099632F" w:rsidP="008C0B68">
      <w:pPr>
        <w:spacing w:after="120" w:line="240" w:lineRule="auto"/>
        <w:ind w:left="1440"/>
        <w:contextualSpacing/>
        <w:jc w:val="both"/>
        <w:rPr>
          <w:rFonts w:ascii="Times" w:eastAsia="Times New Roman" w:hAnsi="Times" w:cs="Times New Roman"/>
          <w:b/>
        </w:rPr>
      </w:pPr>
    </w:p>
    <w:p w:rsidR="007A7BEB" w:rsidRPr="008C0B68" w:rsidRDefault="007A7BEB" w:rsidP="008C0B68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" w:eastAsia="Times New Roman" w:hAnsi="Times" w:cs="Times New Roman"/>
          <w:b/>
        </w:rPr>
      </w:pPr>
      <w:r w:rsidRPr="008C0B68">
        <w:rPr>
          <w:rFonts w:ascii="Times" w:eastAsia="Times New Roman" w:hAnsi="Times" w:cs="Times New Roman"/>
          <w:b/>
        </w:rPr>
        <w:t xml:space="preserve">Opis przedmiotu cyklu </w:t>
      </w:r>
    </w:p>
    <w:p w:rsidR="007A7BEB" w:rsidRPr="008C0B68" w:rsidRDefault="007A7BEB" w:rsidP="008C0B68">
      <w:pPr>
        <w:spacing w:after="0" w:line="240" w:lineRule="auto"/>
        <w:contextualSpacing/>
        <w:jc w:val="both"/>
        <w:rPr>
          <w:rFonts w:ascii="Times" w:eastAsia="Times New Roman" w:hAnsi="Times" w:cs="Times New Roman"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88"/>
      </w:tblGrid>
      <w:tr w:rsidR="007A7BEB" w:rsidRPr="008C0B68" w:rsidTr="002C0F6F">
        <w:tc>
          <w:tcPr>
            <w:tcW w:w="3148" w:type="dxa"/>
          </w:tcPr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  <w:b/>
              </w:rPr>
              <w:t>Nazwa pola</w:t>
            </w:r>
          </w:p>
        </w:tc>
        <w:tc>
          <w:tcPr>
            <w:tcW w:w="6088" w:type="dxa"/>
          </w:tcPr>
          <w:p w:rsidR="007A7BEB" w:rsidRPr="008C0B68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  <w:b/>
              </w:rPr>
              <w:t>Komentarz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Cykl dydaktyczny, w którym przedmiot jest realizowany</w:t>
            </w:r>
          </w:p>
        </w:tc>
        <w:tc>
          <w:tcPr>
            <w:tcW w:w="6088" w:type="dxa"/>
            <w:shd w:val="clear" w:color="auto" w:fill="8DB3E2"/>
          </w:tcPr>
          <w:p w:rsidR="007A7BEB" w:rsidRPr="003D3D23" w:rsidRDefault="00925F34" w:rsidP="008C0B68">
            <w:pPr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3D3D23">
              <w:rPr>
                <w:rFonts w:ascii="Times" w:eastAsia="Times New Roman" w:hAnsi="Times" w:cs="Times New Roman"/>
              </w:rPr>
              <w:t xml:space="preserve">Semestr </w:t>
            </w:r>
            <w:r w:rsidR="007A7BEB" w:rsidRPr="003D3D23">
              <w:rPr>
                <w:rFonts w:ascii="Times" w:eastAsia="Times New Roman" w:hAnsi="Times" w:cs="Times New Roman"/>
              </w:rPr>
              <w:t xml:space="preserve">II  rok I 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Sposób zaliczenia przedmiotu w cyklu</w:t>
            </w:r>
          </w:p>
        </w:tc>
        <w:tc>
          <w:tcPr>
            <w:tcW w:w="6088" w:type="dxa"/>
            <w:shd w:val="clear" w:color="auto" w:fill="8DB3E2"/>
          </w:tcPr>
          <w:p w:rsidR="007A7BEB" w:rsidRPr="003D3D23" w:rsidRDefault="007A7BEB" w:rsidP="008C0B68">
            <w:pPr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3D3D23">
              <w:rPr>
                <w:rFonts w:ascii="Times" w:eastAsia="Times New Roman" w:hAnsi="Times" w:cs="Times New Roman"/>
              </w:rPr>
              <w:t>Egzamin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Forma(y) i liczba godzin zajęć oraz sposoby ich zaliczenia</w:t>
            </w:r>
          </w:p>
        </w:tc>
        <w:tc>
          <w:tcPr>
            <w:tcW w:w="6088" w:type="dxa"/>
            <w:shd w:val="clear" w:color="auto" w:fill="8DB3E2"/>
          </w:tcPr>
          <w:p w:rsidR="007A7BEB" w:rsidRPr="003D3D23" w:rsidRDefault="007A7BEB" w:rsidP="008C0B68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 xml:space="preserve">Wykład - 10 godzin </w:t>
            </w:r>
          </w:p>
          <w:p w:rsidR="007A7BEB" w:rsidRPr="003D3D23" w:rsidRDefault="001F4255" w:rsidP="008C0B68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>Seminarium</w:t>
            </w:r>
            <w:r w:rsidR="007A7BEB" w:rsidRPr="003D3D23">
              <w:rPr>
                <w:rFonts w:ascii="Times" w:eastAsia="Times New Roman" w:hAnsi="Times" w:cs="Times New Roman"/>
                <w:iCs/>
              </w:rPr>
              <w:t xml:space="preserve"> – </w:t>
            </w:r>
            <w:r w:rsidR="001528A9" w:rsidRPr="003D3D23">
              <w:rPr>
                <w:rFonts w:ascii="Times" w:eastAsia="Times New Roman" w:hAnsi="Times" w:cs="Times New Roman"/>
                <w:iCs/>
              </w:rPr>
              <w:t>20</w:t>
            </w:r>
            <w:r w:rsidR="007A7BEB" w:rsidRPr="003D3D23">
              <w:rPr>
                <w:rFonts w:ascii="Times" w:eastAsia="Times New Roman" w:hAnsi="Times" w:cs="Times New Roman"/>
                <w:iCs/>
              </w:rPr>
              <w:t xml:space="preserve"> godzin </w:t>
            </w:r>
          </w:p>
          <w:p w:rsidR="007A7BEB" w:rsidRPr="003D3D23" w:rsidRDefault="007A7BEB" w:rsidP="008C0B68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 xml:space="preserve">Zajęcia praktyczne-20 godzin </w:t>
            </w:r>
          </w:p>
          <w:p w:rsidR="00C10366" w:rsidRPr="003D3D23" w:rsidRDefault="00C10366" w:rsidP="008C0B68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>Samokształcenie</w:t>
            </w:r>
            <w:r w:rsidR="00EA1391" w:rsidRPr="003D3D23">
              <w:rPr>
                <w:rFonts w:ascii="Times" w:eastAsia="Times New Roman" w:hAnsi="Times" w:cs="Times New Roman"/>
                <w:iCs/>
              </w:rPr>
              <w:t xml:space="preserve"> -</w:t>
            </w:r>
            <w:r w:rsidR="001F4255" w:rsidRPr="003D3D23">
              <w:rPr>
                <w:rFonts w:ascii="Times" w:eastAsia="Times New Roman" w:hAnsi="Times" w:cs="Times New Roman"/>
                <w:iCs/>
              </w:rPr>
              <w:t>1</w:t>
            </w:r>
            <w:r w:rsidR="001528A9" w:rsidRPr="003D3D23">
              <w:rPr>
                <w:rFonts w:ascii="Times" w:eastAsia="Times New Roman" w:hAnsi="Times" w:cs="Times New Roman"/>
                <w:iCs/>
              </w:rPr>
              <w:t>0</w:t>
            </w:r>
            <w:r w:rsidR="00EA1391" w:rsidRPr="003D3D23">
              <w:rPr>
                <w:rFonts w:ascii="Times" w:eastAsia="Times New Roman" w:hAnsi="Times" w:cs="Times New Roman"/>
                <w:iCs/>
              </w:rPr>
              <w:t xml:space="preserve"> godzin</w:t>
            </w:r>
          </w:p>
          <w:p w:rsidR="007A7BEB" w:rsidRPr="003D3D23" w:rsidRDefault="007A7BEB" w:rsidP="008C0B6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contextualSpacing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Imię i nazwisko koordynatora/ów przedmiotu cyklu</w:t>
            </w:r>
          </w:p>
        </w:tc>
        <w:tc>
          <w:tcPr>
            <w:tcW w:w="6088" w:type="dxa"/>
            <w:shd w:val="clear" w:color="auto" w:fill="8DB3E2"/>
          </w:tcPr>
          <w:p w:rsidR="007A7BEB" w:rsidRPr="003D3D23" w:rsidRDefault="007065C1" w:rsidP="008C0B68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Prof. dr hab. Aldona Kubica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contextualSpacing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Imię i nazwisko osób prowadzących grupy zajęciowe przedmiotu</w:t>
            </w:r>
          </w:p>
        </w:tc>
        <w:tc>
          <w:tcPr>
            <w:tcW w:w="6088" w:type="dxa"/>
            <w:shd w:val="clear" w:color="auto" w:fill="8DB3E2"/>
          </w:tcPr>
          <w:p w:rsidR="005C7A89" w:rsidRPr="003D3D23" w:rsidRDefault="007065C1" w:rsidP="008C0B68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Prof. d</w:t>
            </w:r>
            <w:r w:rsidR="005C7A89" w:rsidRPr="003D3D23">
              <w:rPr>
                <w:rFonts w:ascii="Times" w:eastAsia="Calibri" w:hAnsi="Times" w:cs="Times New Roman"/>
              </w:rPr>
              <w:t>r hab. Aldona Kubica</w:t>
            </w:r>
          </w:p>
          <w:p w:rsidR="007A7BEB" w:rsidRPr="003D3D23" w:rsidRDefault="007A7BEB" w:rsidP="008C0B68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3D3D23">
              <w:rPr>
                <w:rFonts w:ascii="Times" w:eastAsia="Calibri" w:hAnsi="Times" w:cs="Times New Roman"/>
              </w:rPr>
              <w:t xml:space="preserve">Dr </w:t>
            </w:r>
            <w:r w:rsidR="001528A9" w:rsidRPr="003D3D23">
              <w:rPr>
                <w:rFonts w:ascii="Times" w:eastAsia="Calibri" w:hAnsi="Times" w:cs="Times New Roman"/>
              </w:rPr>
              <w:t>Piotr Michalski</w:t>
            </w:r>
          </w:p>
          <w:p w:rsidR="005422FD" w:rsidRDefault="007065C1" w:rsidP="008C0B68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Dr</w:t>
            </w:r>
            <w:r w:rsidR="005016BD" w:rsidRPr="003D3D23">
              <w:rPr>
                <w:rFonts w:ascii="Times" w:eastAsia="Calibri" w:hAnsi="Times" w:cs="Times New Roman"/>
              </w:rPr>
              <w:t xml:space="preserve"> Agata Kosobucka</w:t>
            </w:r>
            <w:r w:rsidR="00FA45A1">
              <w:rPr>
                <w:rFonts w:ascii="Times" w:eastAsia="Calibri" w:hAnsi="Times" w:cs="Times New Roman"/>
              </w:rPr>
              <w:t>-Ozdoba</w:t>
            </w:r>
          </w:p>
          <w:p w:rsidR="008B5ED4" w:rsidRPr="005422FD" w:rsidRDefault="005422FD" w:rsidP="005422FD">
            <w:pPr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Dr</w:t>
            </w:r>
            <w:r w:rsidRPr="003D3D23">
              <w:rPr>
                <w:rFonts w:ascii="Times" w:eastAsia="Calibri" w:hAnsi="Times" w:cs="Times New Roman"/>
              </w:rPr>
              <w:t xml:space="preserve"> Łukasz Pietrzykowski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Atrybut (charakter) przedmiotu</w:t>
            </w:r>
          </w:p>
          <w:p w:rsidR="007A7BEB" w:rsidRPr="008C0B68" w:rsidRDefault="007A7BEB" w:rsidP="008C0B68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6088" w:type="dxa"/>
            <w:shd w:val="clear" w:color="auto" w:fill="8DB3E2"/>
          </w:tcPr>
          <w:p w:rsidR="007A7BEB" w:rsidRPr="008C0B68" w:rsidRDefault="007A7BEB" w:rsidP="008C0B68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/>
              </w:rPr>
            </w:pPr>
            <w:r w:rsidRPr="008C0B68">
              <w:rPr>
                <w:rFonts w:ascii="Times" w:eastAsia="Times New Roman" w:hAnsi="Times" w:cs="Times New Roman"/>
                <w:i/>
              </w:rPr>
              <w:t xml:space="preserve">Obligatoryjny 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3D3D23" w:rsidRDefault="007A7BEB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3D3D23">
              <w:rPr>
                <w:rFonts w:ascii="Times" w:eastAsia="Times New Roman" w:hAnsi="Times" w:cs="Times New Roman"/>
              </w:rPr>
              <w:t>Grupy zajęciowe z opisem i limitem miejsc w grupach</w:t>
            </w:r>
            <w:r w:rsidR="00F27059" w:rsidRPr="003D3D23">
              <w:rPr>
                <w:rFonts w:ascii="Times" w:eastAsia="Times New Roman" w:hAnsi="Times" w:cs="Times New Roman"/>
              </w:rPr>
              <w:t>,</w:t>
            </w:r>
          </w:p>
        </w:tc>
        <w:tc>
          <w:tcPr>
            <w:tcW w:w="6088" w:type="dxa"/>
            <w:shd w:val="clear" w:color="auto" w:fill="8DB3E2"/>
          </w:tcPr>
          <w:p w:rsidR="006A48DA" w:rsidRPr="003D3D23" w:rsidRDefault="007A7BEB" w:rsidP="008C0B68">
            <w:pPr>
              <w:suppressAutoHyphens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>WYKŁAD -  cały rocznik</w:t>
            </w:r>
            <w:r w:rsidR="005C7A89" w:rsidRPr="003D3D23">
              <w:rPr>
                <w:rFonts w:ascii="Times" w:eastAsia="Times New Roman" w:hAnsi="Times" w:cs="Times New Roman"/>
                <w:iCs/>
              </w:rPr>
              <w:t>,</w:t>
            </w:r>
          </w:p>
          <w:p w:rsidR="007A7BEB" w:rsidRPr="003D3D23" w:rsidRDefault="0052682B" w:rsidP="008C0B68">
            <w:pPr>
              <w:suppressAutoHyphens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t>SEMINARIUM</w:t>
            </w:r>
            <w:r w:rsidR="005C7A89" w:rsidRPr="003D3D23">
              <w:rPr>
                <w:rFonts w:ascii="Times" w:eastAsia="Times New Roman" w:hAnsi="Times" w:cs="Times New Roman"/>
                <w:iCs/>
              </w:rPr>
              <w:t xml:space="preserve"> -  grupy zajęciowe  </w:t>
            </w:r>
          </w:p>
          <w:p w:rsidR="007A7BEB" w:rsidRPr="003D3D23" w:rsidRDefault="007A7BEB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3D3D23">
              <w:rPr>
                <w:rFonts w:ascii="Times" w:eastAsia="Times New Roman" w:hAnsi="Times" w:cs="Times New Roman"/>
                <w:iCs/>
              </w:rPr>
              <w:lastRenderedPageBreak/>
              <w:t xml:space="preserve">ZAJĘCIA PRAKTYCZNE- grupy 6 osobowe </w:t>
            </w:r>
          </w:p>
        </w:tc>
      </w:tr>
      <w:tr w:rsidR="007A7BEB" w:rsidRPr="008C0B68" w:rsidTr="002C0F6F">
        <w:tc>
          <w:tcPr>
            <w:tcW w:w="3148" w:type="dxa"/>
            <w:shd w:val="clear" w:color="auto" w:fill="8DB3E2"/>
          </w:tcPr>
          <w:p w:rsidR="007A7BEB" w:rsidRPr="003D3D23" w:rsidRDefault="007A7BEB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3D3D23">
              <w:rPr>
                <w:rFonts w:ascii="Times" w:eastAsia="Times New Roman" w:hAnsi="Times" w:cs="Times New Roman"/>
              </w:rPr>
              <w:lastRenderedPageBreak/>
              <w:t>Terminy i miejsca odbywania zajęć</w:t>
            </w:r>
          </w:p>
        </w:tc>
        <w:tc>
          <w:tcPr>
            <w:tcW w:w="6088" w:type="dxa"/>
            <w:shd w:val="clear" w:color="auto" w:fill="8DB3E2"/>
          </w:tcPr>
          <w:p w:rsidR="007A7BEB" w:rsidRPr="003D3D23" w:rsidRDefault="007A7BEB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</w:rPr>
            </w:pPr>
            <w:r w:rsidRPr="003D3D23">
              <w:rPr>
                <w:rFonts w:ascii="Times" w:eastAsia="Calibri" w:hAnsi="Times" w:cs="Times New Roman"/>
              </w:rPr>
              <w:t xml:space="preserve">Terminy i miejsca odbywania zajęć są podawane zgodnie z planem przygotowanym przez </w:t>
            </w:r>
            <w:r w:rsidR="005422FD">
              <w:rPr>
                <w:rFonts w:ascii="Times" w:eastAsia="Calibri" w:hAnsi="Times" w:cs="Times New Roman"/>
              </w:rPr>
              <w:t>Wydział Nauk o Zdrowiu</w:t>
            </w: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hAnsi="Times" w:cs="Times New Roman"/>
              </w:rPr>
              <w:t>Liczba godzin zajęć prowadzonych z wykorzystaniem metod i technik kształcenia na odległość</w:t>
            </w:r>
          </w:p>
        </w:tc>
        <w:tc>
          <w:tcPr>
            <w:tcW w:w="6088" w:type="dxa"/>
            <w:shd w:val="clear" w:color="auto" w:fill="auto"/>
          </w:tcPr>
          <w:p w:rsidR="002C0F6F" w:rsidRPr="008C0B68" w:rsidRDefault="001528A9" w:rsidP="008C0B68">
            <w:pPr>
              <w:suppressAutoHyphens/>
              <w:spacing w:after="0" w:line="240" w:lineRule="auto"/>
              <w:rPr>
                <w:rFonts w:ascii="Times" w:eastAsia="Times New Roman" w:hAnsi="Times" w:cs="Times New Roman"/>
                <w:bCs/>
                <w:iCs/>
              </w:rPr>
            </w:pPr>
            <w:r w:rsidRPr="008C0B68">
              <w:rPr>
                <w:rFonts w:ascii="Times" w:eastAsia="Times New Roman" w:hAnsi="Times" w:cs="Times New Roman"/>
                <w:bCs/>
                <w:iCs/>
              </w:rPr>
              <w:t>10 godz. wykład</w:t>
            </w:r>
          </w:p>
          <w:p w:rsidR="001528A9" w:rsidRPr="008C0B68" w:rsidRDefault="001F4255" w:rsidP="008C0B68">
            <w:pPr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iCs/>
              </w:rPr>
            </w:pPr>
            <w:r w:rsidRPr="008C0B68">
              <w:rPr>
                <w:rFonts w:ascii="Times" w:eastAsia="Times New Roman" w:hAnsi="Times" w:cs="Times New Roman"/>
                <w:bCs/>
                <w:iCs/>
              </w:rPr>
              <w:t>1</w:t>
            </w:r>
            <w:r w:rsidR="001528A9" w:rsidRPr="008C0B68">
              <w:rPr>
                <w:rFonts w:ascii="Times" w:eastAsia="Times New Roman" w:hAnsi="Times" w:cs="Times New Roman"/>
                <w:bCs/>
                <w:iCs/>
              </w:rPr>
              <w:t>0 godz. samokształcenie</w:t>
            </w: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hAnsi="Times" w:cs="Times New Roman"/>
              </w:rPr>
              <w:t>Strona www przedmiotu</w:t>
            </w:r>
          </w:p>
        </w:tc>
        <w:tc>
          <w:tcPr>
            <w:tcW w:w="6088" w:type="dxa"/>
            <w:shd w:val="clear" w:color="auto" w:fill="auto"/>
          </w:tcPr>
          <w:p w:rsidR="00347939" w:rsidRPr="008C0B68" w:rsidRDefault="00CF06A6" w:rsidP="008C0B68">
            <w:pPr>
              <w:spacing w:line="240" w:lineRule="auto"/>
              <w:rPr>
                <w:rFonts w:ascii="Times" w:hAnsi="Times"/>
              </w:rPr>
            </w:pPr>
            <w:hyperlink r:id="rId7" w:history="1">
              <w:r w:rsidR="00347939" w:rsidRPr="008C0B68">
                <w:rPr>
                  <w:rStyle w:val="Hipercze"/>
                  <w:rFonts w:ascii="Times" w:hAnsi="Times"/>
                </w:rPr>
                <w:t>https://moodle.umk.pl/WNoZ/</w:t>
              </w:r>
            </w:hyperlink>
          </w:p>
          <w:p w:rsidR="00705EDF" w:rsidRPr="008C0B68" w:rsidRDefault="007065C1" w:rsidP="008C0B68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eastAsia="Times New Roman" w:hAnsi="Times" w:cs="Times New Roman"/>
                <w:iCs/>
              </w:rPr>
              <w:t>Zakładka Katedra</w:t>
            </w:r>
            <w:r w:rsidR="00705EDF" w:rsidRPr="008C0B68">
              <w:rPr>
                <w:rFonts w:ascii="Times" w:eastAsia="Times New Roman" w:hAnsi="Times" w:cs="Times New Roman"/>
                <w:iCs/>
              </w:rPr>
              <w:t xml:space="preserve"> Promocji Zdrowia</w:t>
            </w: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Efekty kształcenia, zdefiniowane dla danej formy zajęć w ramach przedmiotu</w:t>
            </w:r>
          </w:p>
          <w:p w:rsidR="002C0F6F" w:rsidRPr="008C0B68" w:rsidRDefault="002C0F6F" w:rsidP="008C0B68">
            <w:pPr>
              <w:spacing w:after="0" w:line="240" w:lineRule="auto"/>
              <w:ind w:left="360"/>
              <w:contextualSpacing/>
              <w:jc w:val="both"/>
              <w:rPr>
                <w:rFonts w:ascii="Times" w:eastAsia="Times New Roman" w:hAnsi="Times" w:cs="Times New Roman"/>
              </w:rPr>
            </w:pPr>
          </w:p>
        </w:tc>
        <w:tc>
          <w:tcPr>
            <w:tcW w:w="6088" w:type="dxa"/>
            <w:shd w:val="clear" w:color="auto" w:fill="auto"/>
          </w:tcPr>
          <w:p w:rsidR="002C0F6F" w:rsidRPr="008C0B68" w:rsidRDefault="002C0F6F" w:rsidP="008C0B68">
            <w:pPr>
              <w:suppressAutoHyphens/>
              <w:spacing w:after="0" w:line="240" w:lineRule="auto"/>
              <w:rPr>
                <w:rFonts w:ascii="Times" w:eastAsia="Times New Roman" w:hAnsi="Times" w:cs="Times New Roman"/>
                <w:iCs/>
              </w:rPr>
            </w:pPr>
            <w:r w:rsidRPr="008C0B68">
              <w:rPr>
                <w:rFonts w:ascii="Times" w:eastAsia="Times New Roman" w:hAnsi="Times" w:cs="Times New Roman"/>
                <w:b/>
                <w:iCs/>
              </w:rPr>
              <w:t xml:space="preserve">Wykład: </w:t>
            </w:r>
            <w:r w:rsidRPr="008C0B68">
              <w:rPr>
                <w:rFonts w:ascii="Times" w:hAnsi="Times" w:cs="Times New Roman"/>
              </w:rPr>
              <w:t>W1, W2, W3</w:t>
            </w:r>
          </w:p>
          <w:p w:rsidR="002C0F6F" w:rsidRPr="008C0B68" w:rsidRDefault="0052682B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  <w:b/>
              </w:rPr>
            </w:pPr>
            <w:r w:rsidRPr="008C0B68">
              <w:rPr>
                <w:rFonts w:ascii="Times" w:eastAsia="Times New Roman" w:hAnsi="Times" w:cs="Times New Roman"/>
                <w:b/>
                <w:iCs/>
              </w:rPr>
              <w:t>Seminarium</w:t>
            </w:r>
            <w:r w:rsidR="002C0F6F" w:rsidRPr="008C0B68">
              <w:rPr>
                <w:rFonts w:ascii="Times" w:eastAsia="Times New Roman" w:hAnsi="Times" w:cs="Times New Roman"/>
                <w:b/>
                <w:iCs/>
              </w:rPr>
              <w:t>:</w:t>
            </w:r>
            <w:r w:rsidR="002C0F6F" w:rsidRPr="008C0B68">
              <w:rPr>
                <w:rFonts w:ascii="Times" w:hAnsi="Times" w:cs="Times New Roman"/>
              </w:rPr>
              <w:t>W1, W2, W3,U1, U2, U</w:t>
            </w:r>
            <w:r w:rsidR="00C61606" w:rsidRPr="008C0B68">
              <w:rPr>
                <w:rFonts w:ascii="Times" w:hAnsi="Times" w:cs="Times New Roman"/>
              </w:rPr>
              <w:t>3</w:t>
            </w:r>
            <w:r w:rsidR="002C0F6F" w:rsidRPr="008C0B68">
              <w:rPr>
                <w:rFonts w:ascii="Times" w:hAnsi="Times" w:cs="Times New Roman"/>
              </w:rPr>
              <w:t>, U5, K</w:t>
            </w:r>
            <w:r w:rsidR="00C61606" w:rsidRPr="008C0B68">
              <w:rPr>
                <w:rFonts w:ascii="Times" w:hAnsi="Times" w:cs="Times New Roman"/>
              </w:rPr>
              <w:t>7</w:t>
            </w:r>
          </w:p>
          <w:p w:rsidR="002C0F6F" w:rsidRPr="008C0B68" w:rsidRDefault="002C0F6F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eastAsia="Calibri" w:hAnsi="Times" w:cs="Times New Roman"/>
                <w:b/>
              </w:rPr>
              <w:t>Zajęcia praktyczne:</w:t>
            </w:r>
            <w:r w:rsidRPr="008C0B68">
              <w:rPr>
                <w:rFonts w:ascii="Times" w:hAnsi="Times" w:cs="Times New Roman"/>
              </w:rPr>
              <w:t xml:space="preserve"> U1, U2, U3, U4, U5, U6, </w:t>
            </w:r>
            <w:r w:rsidR="00C61606" w:rsidRPr="008C0B68">
              <w:rPr>
                <w:rFonts w:ascii="Times" w:hAnsi="Times" w:cs="Times New Roman"/>
              </w:rPr>
              <w:t>K1,</w:t>
            </w:r>
            <w:r w:rsidRPr="008C0B68">
              <w:rPr>
                <w:rFonts w:ascii="Times" w:hAnsi="Times" w:cs="Times New Roman"/>
              </w:rPr>
              <w:t>K2, K3, K4, K5, K6, K7</w:t>
            </w:r>
          </w:p>
          <w:p w:rsidR="002C0F6F" w:rsidRPr="008C0B68" w:rsidRDefault="002C0F6F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  <w:b/>
              </w:rPr>
              <w:t xml:space="preserve">Samokształcenie: </w:t>
            </w:r>
            <w:r w:rsidR="00C61606" w:rsidRPr="008C0B68">
              <w:rPr>
                <w:rFonts w:ascii="Times" w:hAnsi="Times" w:cs="Times New Roman"/>
              </w:rPr>
              <w:t>W1, W2, W3</w:t>
            </w:r>
            <w:r w:rsidR="00EB485A" w:rsidRPr="008C0B68">
              <w:rPr>
                <w:rFonts w:ascii="Times" w:hAnsi="Times" w:cs="Times New Roman"/>
              </w:rPr>
              <w:t xml:space="preserve">, </w:t>
            </w:r>
            <w:r w:rsidR="009529B3" w:rsidRPr="008C0B68">
              <w:rPr>
                <w:rFonts w:ascii="Times" w:hAnsi="Times" w:cs="Times New Roman"/>
              </w:rPr>
              <w:t>K</w:t>
            </w:r>
            <w:r w:rsidR="00C61606" w:rsidRPr="008C0B68">
              <w:rPr>
                <w:rFonts w:ascii="Times" w:hAnsi="Times" w:cs="Times New Roman"/>
              </w:rPr>
              <w:t>7</w:t>
            </w:r>
          </w:p>
          <w:p w:rsidR="00347939" w:rsidRPr="008C0B68" w:rsidRDefault="00347939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Metody i kryteria oceniania danej formy zajęć w ramach przedmiotu</w:t>
            </w:r>
          </w:p>
        </w:tc>
        <w:tc>
          <w:tcPr>
            <w:tcW w:w="6088" w:type="dxa"/>
            <w:shd w:val="clear" w:color="auto" w:fill="auto"/>
          </w:tcPr>
          <w:p w:rsidR="002C0F6F" w:rsidRPr="008C0B68" w:rsidRDefault="002C0F6F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Przedmiot kończy się egzaminem (test – 40 pytań, zadania zamknięte, 1 pkt za pytanie). Warunkiem zaliczenia testu jest uzyskanie minimum 6</w:t>
            </w:r>
            <w:r w:rsidR="00752A04" w:rsidRPr="008C0B68">
              <w:rPr>
                <w:rFonts w:ascii="Times" w:eastAsia="Times New Roman" w:hAnsi="Times" w:cs="Times New Roman"/>
              </w:rPr>
              <w:t>0</w:t>
            </w:r>
            <w:r w:rsidRPr="008C0B68">
              <w:rPr>
                <w:rFonts w:ascii="Times" w:eastAsia="Times New Roman" w:hAnsi="Times" w:cs="Times New Roman"/>
              </w:rPr>
              <w:t xml:space="preserve"> % poprawnych odpowiedzi. </w:t>
            </w:r>
          </w:p>
          <w:p w:rsidR="00347939" w:rsidRPr="008C0B68" w:rsidRDefault="00347939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Kryteria oceny testu: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24 - 28 pkt. – dostateczny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29 – 30 pkt. – dostateczny plus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31 - 34 pkt. – dobry</w:t>
            </w:r>
          </w:p>
          <w:p w:rsidR="00752A04" w:rsidRPr="008C0B68" w:rsidRDefault="00A05069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35 - 37</w:t>
            </w:r>
            <w:r w:rsidR="00752A04" w:rsidRPr="008C0B68">
              <w:rPr>
                <w:rFonts w:ascii="Times" w:eastAsia="Calibri" w:hAnsi="Times" w:cs="Times New Roman"/>
              </w:rPr>
              <w:t xml:space="preserve"> pkt. – dobry plus</w:t>
            </w:r>
          </w:p>
          <w:p w:rsidR="00752A04" w:rsidRPr="008C0B68" w:rsidRDefault="00752A04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38 - 40 pkt. – bardzo dobry</w:t>
            </w:r>
          </w:p>
          <w:p w:rsidR="002C0F6F" w:rsidRPr="008C0B68" w:rsidRDefault="002C0F6F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</w:p>
          <w:p w:rsidR="00347939" w:rsidRPr="008C0B68" w:rsidRDefault="00347939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</w:p>
          <w:p w:rsidR="00F92A3D" w:rsidRPr="008C0B68" w:rsidRDefault="00F92A3D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  <w:b/>
                <w:bCs/>
              </w:rPr>
              <w:t>Wykład</w:t>
            </w:r>
            <w:r w:rsidRPr="008C0B68">
              <w:rPr>
                <w:rFonts w:ascii="Times" w:eastAsia="Times New Roman" w:hAnsi="Times" w:cs="Times New Roman"/>
              </w:rPr>
              <w:t>: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wykładów jest obowiązkowe zapoznanie się z ich treścią na platformie Moodle (W1, W2, W3).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</w:p>
          <w:p w:rsidR="00F92A3D" w:rsidRPr="008C0B68" w:rsidRDefault="0052682B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  <w:b/>
                <w:bCs/>
              </w:rPr>
              <w:t>Seminarium</w:t>
            </w:r>
            <w:r w:rsidR="00F92A3D" w:rsidRPr="008C0B68">
              <w:rPr>
                <w:rFonts w:ascii="Times" w:eastAsia="Calibri" w:hAnsi="Times" w:cs="Times New Roman"/>
              </w:rPr>
              <w:t>: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 xml:space="preserve">Podstawą zaliczenia </w:t>
            </w:r>
            <w:r w:rsidR="0052682B" w:rsidRPr="008C0B68">
              <w:rPr>
                <w:rFonts w:ascii="Times" w:eastAsia="Calibri" w:hAnsi="Times" w:cs="Times New Roman"/>
              </w:rPr>
              <w:t>seminariów</w:t>
            </w:r>
            <w:r w:rsidRPr="008C0B68">
              <w:rPr>
                <w:rFonts w:ascii="Times" w:eastAsia="Calibri" w:hAnsi="Times" w:cs="Times New Roman"/>
              </w:rPr>
              <w:t xml:space="preserve"> jest 100% obecność na </w:t>
            </w:r>
            <w:r w:rsidR="0052682B" w:rsidRPr="008C0B68">
              <w:rPr>
                <w:rFonts w:ascii="Times" w:eastAsia="Calibri" w:hAnsi="Times" w:cs="Times New Roman"/>
              </w:rPr>
              <w:t>seminariach</w:t>
            </w:r>
            <w:r w:rsidRPr="008C0B68">
              <w:rPr>
                <w:rFonts w:ascii="Times" w:eastAsia="Calibri" w:hAnsi="Times" w:cs="Times New Roman"/>
              </w:rPr>
              <w:t xml:space="preserve"> i bieżące wykonywanie zadań przygotowanych przez prowadzącego zajęcia (</w:t>
            </w:r>
            <w:r w:rsidRPr="008C0B68">
              <w:rPr>
                <w:rFonts w:ascii="Times" w:hAnsi="Times" w:cs="Times New Roman"/>
              </w:rPr>
              <w:t>W1, W2, W3, U1, U2,K7).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Zajęcia praktyczne</w:t>
            </w:r>
            <w:r w:rsidRPr="008C0B68">
              <w:rPr>
                <w:rFonts w:ascii="Times" w:hAnsi="Times" w:cs="Times New Roman"/>
              </w:rPr>
              <w:t>: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zajęć praktycznych jest 100% obecność na zajęciach praktycznych i bieżące wykonywanie zadań przewidzianych w programie zajęć (</w:t>
            </w:r>
            <w:r w:rsidRPr="008C0B68">
              <w:rPr>
                <w:rFonts w:ascii="Times" w:hAnsi="Times" w:cs="Times New Roman"/>
              </w:rPr>
              <w:t>W1, W2, W3, U1, U2, U3, U5,</w:t>
            </w:r>
            <w:r w:rsidR="00EB485A" w:rsidRPr="008C0B68">
              <w:rPr>
                <w:rFonts w:ascii="Times" w:hAnsi="Times" w:cs="Times New Roman"/>
              </w:rPr>
              <w:t xml:space="preserve"> K1, K2, K3, K4, K5, K6,</w:t>
            </w:r>
            <w:r w:rsidRPr="008C0B68">
              <w:rPr>
                <w:rFonts w:ascii="Times" w:hAnsi="Times" w:cs="Times New Roman"/>
              </w:rPr>
              <w:t xml:space="preserve"> K7).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Warunkiem zaliczenia zajęć praktycznych jest zwrot Karty zajęć praktycznych na której prowadzący poszczególne zajęcia dokonali zaliczenia wszystkich zajęć. </w:t>
            </w: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</w:rPr>
            </w:pPr>
          </w:p>
          <w:p w:rsidR="00F92A3D" w:rsidRPr="008C0B68" w:rsidRDefault="00F92A3D" w:rsidP="008C0B68">
            <w:pPr>
              <w:suppressAutoHyphens/>
              <w:spacing w:after="0" w:line="240" w:lineRule="auto"/>
              <w:rPr>
                <w:rFonts w:ascii="Times" w:eastAsia="Calibri" w:hAnsi="Times" w:cs="Times New Roman"/>
                <w:b/>
                <w:bCs/>
              </w:rPr>
            </w:pPr>
            <w:r w:rsidRPr="008C0B68">
              <w:rPr>
                <w:rFonts w:ascii="Times" w:eastAsia="Calibri" w:hAnsi="Times" w:cs="Times New Roman"/>
                <w:b/>
                <w:bCs/>
              </w:rPr>
              <w:t>Samokształcenie:</w:t>
            </w:r>
          </w:p>
          <w:p w:rsidR="009E2B6E" w:rsidRPr="008C0B68" w:rsidRDefault="00F92A3D" w:rsidP="008C0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Podstawą zaliczenia samokształcenia jest zapoznanie się z artykułami naukowymi umieszczonymi na platformie Moodle oraz rozwiązanie testu sprawdzającego (test prawda/fałsz, 10 pytań – po 1 p</w:t>
            </w:r>
            <w:r w:rsidR="005422FD">
              <w:rPr>
                <w:rFonts w:ascii="Times" w:eastAsia="Calibri" w:hAnsi="Times" w:cs="Times New Roman"/>
              </w:rPr>
              <w:t>u</w:t>
            </w:r>
            <w:r w:rsidRPr="008C0B68">
              <w:rPr>
                <w:rFonts w:ascii="Times" w:eastAsia="Calibri" w:hAnsi="Times" w:cs="Times New Roman"/>
              </w:rPr>
              <w:t>nkcie za każde pytania, podstawą zaliczenia jest uzyskanie minimum 7 punktów) (</w:t>
            </w:r>
            <w:r w:rsidRPr="008C0B68">
              <w:rPr>
                <w:rFonts w:ascii="Times" w:hAnsi="Times" w:cs="Times New Roman"/>
              </w:rPr>
              <w:t>W1, W2, W3</w:t>
            </w:r>
            <w:r w:rsidR="00EB485A" w:rsidRPr="008C0B68">
              <w:rPr>
                <w:rFonts w:ascii="Times" w:hAnsi="Times" w:cs="Times New Roman"/>
              </w:rPr>
              <w:t>,</w:t>
            </w:r>
            <w:r w:rsidRPr="008C0B68">
              <w:rPr>
                <w:rFonts w:ascii="Times" w:hAnsi="Times" w:cs="Times New Roman"/>
              </w:rPr>
              <w:t xml:space="preserve">  K7)</w:t>
            </w:r>
          </w:p>
          <w:p w:rsidR="00BA074F" w:rsidRDefault="00BA074F" w:rsidP="008C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  <w:i/>
              </w:rPr>
            </w:pPr>
          </w:p>
          <w:p w:rsidR="00BA074F" w:rsidRPr="008C0B68" w:rsidRDefault="00BA074F" w:rsidP="008C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  <w:i/>
              </w:rPr>
            </w:pP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Zakres tematów</w:t>
            </w:r>
          </w:p>
        </w:tc>
        <w:tc>
          <w:tcPr>
            <w:tcW w:w="6088" w:type="dxa"/>
            <w:shd w:val="clear" w:color="auto" w:fill="auto"/>
          </w:tcPr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  <w:b/>
                <w:bCs/>
              </w:rPr>
            </w:pPr>
            <w:r w:rsidRPr="008C0B68">
              <w:rPr>
                <w:rFonts w:ascii="Times" w:eastAsia="Times New Roman" w:hAnsi="Times"/>
                <w:b/>
                <w:bCs/>
              </w:rPr>
              <w:t xml:space="preserve"> Wykłady: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1.    Rozwój promocji zdrowia w Polsce i na Świecie - założenia i cele promocji zdrowia.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2.    Zdrowie, modele zdrowia i promocja zdrowia - determinanty zdrowia.</w:t>
            </w:r>
          </w:p>
          <w:p w:rsidR="008C0B68" w:rsidRPr="00BE5957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BE5957">
              <w:rPr>
                <w:rFonts w:ascii="Times" w:eastAsia="Times New Roman" w:hAnsi="Times"/>
              </w:rPr>
              <w:t>3.    Modele edukacji zdrowotnej.</w:t>
            </w:r>
          </w:p>
          <w:p w:rsidR="00BE5957" w:rsidRPr="00BE5957" w:rsidRDefault="008C0B68" w:rsidP="00BE5957">
            <w:pPr>
              <w:pStyle w:val="Normalny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BE5957">
              <w:rPr>
                <w:rFonts w:ascii="Times" w:hAnsi="Times"/>
                <w:sz w:val="22"/>
                <w:szCs w:val="22"/>
              </w:rPr>
              <w:t xml:space="preserve">4.  </w:t>
            </w:r>
            <w:r w:rsidR="00BE5957" w:rsidRPr="00BE5957">
              <w:rPr>
                <w:rFonts w:ascii="Times" w:hAnsi="Times" w:cs="Times"/>
                <w:sz w:val="22"/>
                <w:szCs w:val="22"/>
              </w:rPr>
              <w:t xml:space="preserve">Promocja zdrowia w środowisku lokalnym i wybranych </w:t>
            </w:r>
            <w:r w:rsidR="00BE5957" w:rsidRPr="00BE5957">
              <w:rPr>
                <w:rFonts w:ascii="Times" w:hAnsi="Times" w:cs="Times"/>
                <w:sz w:val="22"/>
                <w:szCs w:val="22"/>
              </w:rPr>
              <w:lastRenderedPageBreak/>
              <w:t xml:space="preserve">społecznościach.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  <w:b/>
                <w:bCs/>
              </w:rPr>
            </w:pPr>
            <w:r w:rsidRPr="008C0B68">
              <w:rPr>
                <w:rFonts w:ascii="Times" w:eastAsia="Times New Roman" w:hAnsi="Times"/>
                <w:b/>
                <w:bCs/>
              </w:rPr>
              <w:t xml:space="preserve">Ćwiczenia: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1.     Narzędzia wykorzystywane dla potrzeb edukacji zdrowotnej i profilaktyki.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2.     Diagnoza pielęgniarska dla potrzeb promocji zdrowia</w:t>
            </w:r>
            <w:r w:rsidR="005422FD">
              <w:rPr>
                <w:rFonts w:ascii="Times" w:eastAsia="Times New Roman" w:hAnsi="Times"/>
              </w:rPr>
              <w:t>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3.     Podstawy profilaktyki – zdrowe żywienie.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4.     Profilaktyka uzależnień.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5.     Promocja zdrowia psychicznego.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 xml:space="preserve">6.     Zagrożenia zdrowotne XXI wieku.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 xml:space="preserve">7.     Programy zdrowotne jako narzędzia profilaktyki w promocji zdrowia.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8.     Podstawy profilaktyki - aktywność fizyczna.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 xml:space="preserve">9.     </w:t>
            </w:r>
            <w:proofErr w:type="spellStart"/>
            <w:r w:rsidR="005422FD">
              <w:rPr>
                <w:rFonts w:ascii="Times" w:eastAsia="Times New Roman" w:hAnsi="Times"/>
              </w:rPr>
              <w:t>Onkoprofilaktyka</w:t>
            </w:r>
            <w:proofErr w:type="spellEnd"/>
            <w:r w:rsidR="005422FD">
              <w:rPr>
                <w:rFonts w:ascii="Times" w:eastAsia="Times New Roman" w:hAnsi="Times"/>
              </w:rPr>
              <w:t xml:space="preserve"> </w:t>
            </w:r>
          </w:p>
          <w:p w:rsid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10.  Samokontrola w profilaktyce chorób cywilizacyjnych.</w:t>
            </w:r>
          </w:p>
          <w:p w:rsid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  <w:b/>
                <w:bCs/>
              </w:rPr>
            </w:pPr>
            <w:r w:rsidRPr="008C0B68">
              <w:rPr>
                <w:rFonts w:ascii="Times" w:eastAsia="Times New Roman" w:hAnsi="Times"/>
                <w:b/>
                <w:bCs/>
              </w:rPr>
              <w:t>Zajęcia praktyczne:</w:t>
            </w:r>
          </w:p>
          <w:p w:rsidR="005422FD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1.</w:t>
            </w:r>
            <w:r w:rsidRPr="008C0B68">
              <w:rPr>
                <w:rFonts w:ascii="Times" w:eastAsia="Times New Roman" w:hAnsi="Times"/>
              </w:rPr>
              <w:tab/>
            </w:r>
            <w:r w:rsidR="005422FD" w:rsidRPr="008C0B68">
              <w:rPr>
                <w:rFonts w:ascii="Times" w:eastAsia="Times New Roman" w:hAnsi="Times"/>
              </w:rPr>
              <w:t>Ocena zachowań zdrowotnych</w:t>
            </w:r>
            <w:r w:rsidR="005422FD">
              <w:rPr>
                <w:rFonts w:ascii="Times" w:eastAsia="Times New Roman" w:hAnsi="Times"/>
              </w:rPr>
              <w:t xml:space="preserve"> i stylu życia</w:t>
            </w:r>
            <w:r w:rsidR="005422FD" w:rsidRPr="008C0B68">
              <w:rPr>
                <w:rFonts w:ascii="Times" w:eastAsia="Times New Roman" w:hAnsi="Times"/>
              </w:rPr>
              <w:t xml:space="preserve"> 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2.</w:t>
            </w:r>
            <w:r w:rsidRPr="008C0B68">
              <w:rPr>
                <w:rFonts w:ascii="Times" w:eastAsia="Times New Roman" w:hAnsi="Times"/>
              </w:rPr>
              <w:tab/>
            </w:r>
            <w:r w:rsidR="005422FD" w:rsidRPr="008C0B68">
              <w:rPr>
                <w:rFonts w:ascii="Times" w:eastAsia="Times New Roman" w:hAnsi="Times"/>
              </w:rPr>
              <w:t xml:space="preserve">Symulacja: </w:t>
            </w:r>
            <w:r w:rsidR="005422FD">
              <w:rPr>
                <w:rFonts w:ascii="Times" w:eastAsia="Times New Roman" w:hAnsi="Times"/>
              </w:rPr>
              <w:t>Planowanie działań edukacyjnych w oparciu o Klasyfikację ICNP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3.</w:t>
            </w:r>
            <w:r w:rsidRPr="008C0B68">
              <w:rPr>
                <w:rFonts w:ascii="Times" w:eastAsia="Times New Roman" w:hAnsi="Times"/>
              </w:rPr>
              <w:tab/>
              <w:t>Przygotowanie materiałów edukacyjnych.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>4.</w:t>
            </w:r>
            <w:r w:rsidRPr="008C0B68">
              <w:rPr>
                <w:rFonts w:ascii="Times" w:eastAsia="Times New Roman" w:hAnsi="Times"/>
              </w:rPr>
              <w:tab/>
              <w:t>Promocja zdrowia i edukacja zdrowotna w środowisku lokalnym.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  <w:b/>
                <w:bCs/>
              </w:rPr>
            </w:pPr>
            <w:r w:rsidRPr="008C0B68">
              <w:rPr>
                <w:rFonts w:ascii="Times" w:eastAsia="Times New Roman" w:hAnsi="Times"/>
                <w:b/>
                <w:bCs/>
              </w:rPr>
              <w:t>Samokształcenie:</w:t>
            </w:r>
          </w:p>
          <w:p w:rsidR="008C0B68" w:rsidRPr="008C0B68" w:rsidRDefault="008C0B68" w:rsidP="008C0B68">
            <w:pPr>
              <w:spacing w:after="0" w:line="240" w:lineRule="auto"/>
              <w:rPr>
                <w:rFonts w:ascii="Times" w:eastAsia="Times New Roman" w:hAnsi="Times"/>
              </w:rPr>
            </w:pPr>
            <w:r w:rsidRPr="008C0B68">
              <w:rPr>
                <w:rFonts w:ascii="Times" w:eastAsia="Times New Roman" w:hAnsi="Times"/>
              </w:rPr>
              <w:t xml:space="preserve">1. Rola aktywności fizycznej i zdrowego odżywiania w promocji zdrowia. </w:t>
            </w:r>
          </w:p>
          <w:p w:rsidR="00705EDF" w:rsidRPr="008C0B68" w:rsidRDefault="00705EDF" w:rsidP="008C0B68">
            <w:pPr>
              <w:spacing w:after="0" w:line="240" w:lineRule="auto"/>
              <w:rPr>
                <w:rFonts w:ascii="Times" w:hAnsi="Times"/>
              </w:rPr>
            </w:pPr>
          </w:p>
          <w:p w:rsidR="002C0F6F" w:rsidRPr="008C0B68" w:rsidRDefault="002C0F6F" w:rsidP="008C0B68">
            <w:pPr>
              <w:spacing w:after="0" w:line="240" w:lineRule="auto"/>
              <w:rPr>
                <w:rFonts w:ascii="Times" w:eastAsia="Calibri" w:hAnsi="Times" w:cs="Times New Roman"/>
                <w:noProof/>
              </w:rPr>
            </w:pP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lastRenderedPageBreak/>
              <w:t>Metody dydaktyczne</w:t>
            </w:r>
          </w:p>
        </w:tc>
        <w:tc>
          <w:tcPr>
            <w:tcW w:w="6088" w:type="dxa"/>
            <w:shd w:val="clear" w:color="auto" w:fill="auto"/>
          </w:tcPr>
          <w:p w:rsidR="002C0F6F" w:rsidRPr="008C0B68" w:rsidRDefault="002C0F6F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Jak w części A</w:t>
            </w:r>
          </w:p>
        </w:tc>
      </w:tr>
      <w:tr w:rsidR="002C0F6F" w:rsidRPr="008C0B68" w:rsidTr="002C0F6F">
        <w:tc>
          <w:tcPr>
            <w:tcW w:w="3148" w:type="dxa"/>
            <w:shd w:val="clear" w:color="auto" w:fill="auto"/>
          </w:tcPr>
          <w:p w:rsidR="002C0F6F" w:rsidRPr="008C0B68" w:rsidRDefault="002C0F6F" w:rsidP="008C0B68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8C0B68">
              <w:rPr>
                <w:rFonts w:ascii="Times" w:eastAsia="Times New Roman" w:hAnsi="Times" w:cs="Times New Roman"/>
              </w:rPr>
              <w:t>Literatura</w:t>
            </w:r>
          </w:p>
        </w:tc>
        <w:tc>
          <w:tcPr>
            <w:tcW w:w="6088" w:type="dxa"/>
            <w:shd w:val="clear" w:color="auto" w:fill="auto"/>
          </w:tcPr>
          <w:p w:rsidR="002C0F6F" w:rsidRPr="008C0B68" w:rsidRDefault="002C0F6F" w:rsidP="008C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8C0B68">
              <w:rPr>
                <w:rFonts w:ascii="Times" w:eastAsia="Calibri" w:hAnsi="Times" w:cs="Times New Roman"/>
              </w:rPr>
              <w:t>Jak w części A</w:t>
            </w:r>
          </w:p>
        </w:tc>
      </w:tr>
    </w:tbl>
    <w:p w:rsidR="007A7BEB" w:rsidRPr="008C0B68" w:rsidRDefault="007A7BEB" w:rsidP="008C0B68">
      <w:pPr>
        <w:spacing w:before="100" w:beforeAutospacing="1" w:after="100" w:afterAutospacing="1" w:line="240" w:lineRule="auto"/>
        <w:jc w:val="center"/>
        <w:outlineLvl w:val="4"/>
        <w:rPr>
          <w:rFonts w:ascii="Times" w:eastAsia="Times New Roman" w:hAnsi="Times" w:cs="Times New Roman"/>
          <w:bCs/>
        </w:rPr>
      </w:pPr>
    </w:p>
    <w:p w:rsidR="007A7BEB" w:rsidRPr="008C0B68" w:rsidRDefault="007A7BEB" w:rsidP="008C0B68">
      <w:pPr>
        <w:spacing w:before="100" w:beforeAutospacing="1" w:after="100" w:afterAutospacing="1" w:line="240" w:lineRule="auto"/>
        <w:jc w:val="center"/>
        <w:outlineLvl w:val="4"/>
        <w:rPr>
          <w:rFonts w:ascii="Times" w:eastAsia="Times New Roman" w:hAnsi="Times" w:cs="Times New Roman"/>
          <w:bCs/>
        </w:rPr>
      </w:pPr>
    </w:p>
    <w:p w:rsidR="00AC18E0" w:rsidRPr="008C0B68" w:rsidRDefault="00AC18E0" w:rsidP="008C0B68">
      <w:pPr>
        <w:spacing w:line="240" w:lineRule="auto"/>
        <w:rPr>
          <w:rFonts w:ascii="Times" w:hAnsi="Times"/>
        </w:rPr>
      </w:pPr>
    </w:p>
    <w:sectPr w:rsidR="00AC18E0" w:rsidRPr="008C0B68" w:rsidSect="0073527E">
      <w:footerReference w:type="even" r:id="rId8"/>
      <w:pgSz w:w="11906" w:h="16838"/>
      <w:pgMar w:top="107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A6" w:rsidRDefault="00CF06A6">
      <w:pPr>
        <w:spacing w:after="0" w:line="240" w:lineRule="auto"/>
      </w:pPr>
      <w:r>
        <w:separator/>
      </w:r>
    </w:p>
  </w:endnote>
  <w:endnote w:type="continuationSeparator" w:id="0">
    <w:p w:rsidR="00CF06A6" w:rsidRDefault="00CF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B69" w:rsidRDefault="00A14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0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0B6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40B69" w:rsidRDefault="00640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A6" w:rsidRDefault="00CF06A6">
      <w:pPr>
        <w:spacing w:after="0" w:line="240" w:lineRule="auto"/>
      </w:pPr>
      <w:r>
        <w:separator/>
      </w:r>
    </w:p>
  </w:footnote>
  <w:footnote w:type="continuationSeparator" w:id="0">
    <w:p w:rsidR="00CF06A6" w:rsidRDefault="00CF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225"/>
    <w:multiLevelType w:val="hybridMultilevel"/>
    <w:tmpl w:val="45BEFA7A"/>
    <w:lvl w:ilvl="0" w:tplc="C1D6C59A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F2DC9"/>
    <w:multiLevelType w:val="hybridMultilevel"/>
    <w:tmpl w:val="5B32F450"/>
    <w:lvl w:ilvl="0" w:tplc="68F057DE">
      <w:start w:val="1"/>
      <w:numFmt w:val="decimal"/>
      <w:lvlText w:val="%1."/>
      <w:lvlJc w:val="left"/>
      <w:pPr>
        <w:ind w:left="720" w:hanging="360"/>
      </w:pPr>
    </w:lvl>
    <w:lvl w:ilvl="1" w:tplc="3640A6A2">
      <w:start w:val="1"/>
      <w:numFmt w:val="lowerLetter"/>
      <w:lvlText w:val="%2."/>
      <w:lvlJc w:val="left"/>
      <w:pPr>
        <w:ind w:left="1440" w:hanging="360"/>
      </w:pPr>
    </w:lvl>
    <w:lvl w:ilvl="2" w:tplc="2BE68C4A">
      <w:start w:val="1"/>
      <w:numFmt w:val="lowerRoman"/>
      <w:lvlText w:val="%3."/>
      <w:lvlJc w:val="right"/>
      <w:pPr>
        <w:ind w:left="2160" w:hanging="180"/>
      </w:pPr>
    </w:lvl>
    <w:lvl w:ilvl="3" w:tplc="838AE254">
      <w:start w:val="1"/>
      <w:numFmt w:val="decimal"/>
      <w:lvlText w:val="%4."/>
      <w:lvlJc w:val="left"/>
      <w:pPr>
        <w:ind w:left="2880" w:hanging="360"/>
      </w:pPr>
    </w:lvl>
    <w:lvl w:ilvl="4" w:tplc="2C32DB7C">
      <w:start w:val="1"/>
      <w:numFmt w:val="lowerLetter"/>
      <w:lvlText w:val="%5."/>
      <w:lvlJc w:val="left"/>
      <w:pPr>
        <w:ind w:left="3600" w:hanging="360"/>
      </w:pPr>
    </w:lvl>
    <w:lvl w:ilvl="5" w:tplc="BDF888A2">
      <w:start w:val="1"/>
      <w:numFmt w:val="lowerRoman"/>
      <w:lvlText w:val="%6."/>
      <w:lvlJc w:val="right"/>
      <w:pPr>
        <w:ind w:left="4320" w:hanging="180"/>
      </w:pPr>
    </w:lvl>
    <w:lvl w:ilvl="6" w:tplc="2496FDCC">
      <w:start w:val="1"/>
      <w:numFmt w:val="decimal"/>
      <w:lvlText w:val="%7."/>
      <w:lvlJc w:val="left"/>
      <w:pPr>
        <w:ind w:left="5040" w:hanging="360"/>
      </w:pPr>
    </w:lvl>
    <w:lvl w:ilvl="7" w:tplc="35184254">
      <w:start w:val="1"/>
      <w:numFmt w:val="lowerLetter"/>
      <w:lvlText w:val="%8."/>
      <w:lvlJc w:val="left"/>
      <w:pPr>
        <w:ind w:left="5760" w:hanging="360"/>
      </w:pPr>
    </w:lvl>
    <w:lvl w:ilvl="8" w:tplc="DF8699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C60"/>
    <w:multiLevelType w:val="hybridMultilevel"/>
    <w:tmpl w:val="7720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60FB"/>
    <w:multiLevelType w:val="hybridMultilevel"/>
    <w:tmpl w:val="62EEB468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176"/>
    <w:multiLevelType w:val="hybridMultilevel"/>
    <w:tmpl w:val="32B4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A2323"/>
    <w:multiLevelType w:val="hybridMultilevel"/>
    <w:tmpl w:val="62EEB468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B08"/>
    <w:multiLevelType w:val="hybridMultilevel"/>
    <w:tmpl w:val="0B8A1D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0DF35DC"/>
    <w:multiLevelType w:val="hybridMultilevel"/>
    <w:tmpl w:val="0A76BF70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CE3"/>
    <w:multiLevelType w:val="hybridMultilevel"/>
    <w:tmpl w:val="591C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E0EF6"/>
    <w:multiLevelType w:val="hybridMultilevel"/>
    <w:tmpl w:val="C64C0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B1A11"/>
    <w:multiLevelType w:val="hybridMultilevel"/>
    <w:tmpl w:val="79B6B4C8"/>
    <w:lvl w:ilvl="0" w:tplc="0C3CB4E4">
      <w:start w:val="1"/>
      <w:numFmt w:val="decimal"/>
      <w:lvlText w:val="%1."/>
      <w:lvlJc w:val="left"/>
      <w:pPr>
        <w:ind w:left="214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F437A"/>
    <w:multiLevelType w:val="hybridMultilevel"/>
    <w:tmpl w:val="8F1A60EE"/>
    <w:lvl w:ilvl="0" w:tplc="2ED88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574F5"/>
    <w:multiLevelType w:val="hybridMultilevel"/>
    <w:tmpl w:val="57801A32"/>
    <w:lvl w:ilvl="0" w:tplc="0C3CB4E4">
      <w:start w:val="1"/>
      <w:numFmt w:val="decimal"/>
      <w:lvlText w:val="%1."/>
      <w:lvlJc w:val="left"/>
      <w:pPr>
        <w:ind w:left="214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EF0CBA"/>
    <w:multiLevelType w:val="hybridMultilevel"/>
    <w:tmpl w:val="CFC0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40F7"/>
    <w:multiLevelType w:val="hybridMultilevel"/>
    <w:tmpl w:val="EAAC6D74"/>
    <w:lvl w:ilvl="0" w:tplc="85628CAE">
      <w:start w:val="1"/>
      <w:numFmt w:val="decimal"/>
      <w:lvlText w:val="%1."/>
      <w:lvlJc w:val="left"/>
      <w:pPr>
        <w:ind w:left="720" w:hanging="360"/>
      </w:pPr>
    </w:lvl>
    <w:lvl w:ilvl="1" w:tplc="821274EE">
      <w:start w:val="1"/>
      <w:numFmt w:val="lowerLetter"/>
      <w:lvlText w:val="%2."/>
      <w:lvlJc w:val="left"/>
      <w:pPr>
        <w:ind w:left="1440" w:hanging="360"/>
      </w:pPr>
    </w:lvl>
    <w:lvl w:ilvl="2" w:tplc="65EEFC1A">
      <w:start w:val="1"/>
      <w:numFmt w:val="lowerRoman"/>
      <w:lvlText w:val="%3."/>
      <w:lvlJc w:val="right"/>
      <w:pPr>
        <w:ind w:left="2160" w:hanging="180"/>
      </w:pPr>
    </w:lvl>
    <w:lvl w:ilvl="3" w:tplc="FEBAEBC6">
      <w:start w:val="1"/>
      <w:numFmt w:val="decimal"/>
      <w:lvlText w:val="%4."/>
      <w:lvlJc w:val="left"/>
      <w:pPr>
        <w:ind w:left="2880" w:hanging="360"/>
      </w:pPr>
    </w:lvl>
    <w:lvl w:ilvl="4" w:tplc="C67E492C">
      <w:start w:val="1"/>
      <w:numFmt w:val="lowerLetter"/>
      <w:lvlText w:val="%5."/>
      <w:lvlJc w:val="left"/>
      <w:pPr>
        <w:ind w:left="3600" w:hanging="360"/>
      </w:pPr>
    </w:lvl>
    <w:lvl w:ilvl="5" w:tplc="86945D1C">
      <w:start w:val="1"/>
      <w:numFmt w:val="lowerRoman"/>
      <w:lvlText w:val="%6."/>
      <w:lvlJc w:val="right"/>
      <w:pPr>
        <w:ind w:left="4320" w:hanging="180"/>
      </w:pPr>
    </w:lvl>
    <w:lvl w:ilvl="6" w:tplc="6B94A204">
      <w:start w:val="1"/>
      <w:numFmt w:val="decimal"/>
      <w:lvlText w:val="%7."/>
      <w:lvlJc w:val="left"/>
      <w:pPr>
        <w:ind w:left="5040" w:hanging="360"/>
      </w:pPr>
    </w:lvl>
    <w:lvl w:ilvl="7" w:tplc="F5D4825E">
      <w:start w:val="1"/>
      <w:numFmt w:val="lowerLetter"/>
      <w:lvlText w:val="%8."/>
      <w:lvlJc w:val="left"/>
      <w:pPr>
        <w:ind w:left="5760" w:hanging="360"/>
      </w:pPr>
    </w:lvl>
    <w:lvl w:ilvl="8" w:tplc="D8C0FA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3301D"/>
    <w:multiLevelType w:val="multilevel"/>
    <w:tmpl w:val="CB60CE6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3C079E"/>
    <w:multiLevelType w:val="hybridMultilevel"/>
    <w:tmpl w:val="0444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46A5"/>
    <w:multiLevelType w:val="hybridMultilevel"/>
    <w:tmpl w:val="DBD0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602B"/>
    <w:multiLevelType w:val="hybridMultilevel"/>
    <w:tmpl w:val="9CB2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FDF"/>
    <w:multiLevelType w:val="hybridMultilevel"/>
    <w:tmpl w:val="FD869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56C34"/>
    <w:multiLevelType w:val="hybridMultilevel"/>
    <w:tmpl w:val="C64C0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D413F"/>
    <w:multiLevelType w:val="hybridMultilevel"/>
    <w:tmpl w:val="AE1AA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B3F1E"/>
    <w:multiLevelType w:val="hybridMultilevel"/>
    <w:tmpl w:val="60F8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20FC0"/>
    <w:multiLevelType w:val="hybridMultilevel"/>
    <w:tmpl w:val="FB48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20636"/>
    <w:multiLevelType w:val="hybridMultilevel"/>
    <w:tmpl w:val="CAB04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0599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D1F37"/>
    <w:multiLevelType w:val="hybridMultilevel"/>
    <w:tmpl w:val="29F038DC"/>
    <w:lvl w:ilvl="0" w:tplc="0C3CB4E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C4436"/>
    <w:multiLevelType w:val="hybridMultilevel"/>
    <w:tmpl w:val="01DC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5A9D"/>
    <w:multiLevelType w:val="hybridMultilevel"/>
    <w:tmpl w:val="F7DA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52D16"/>
    <w:multiLevelType w:val="hybridMultilevel"/>
    <w:tmpl w:val="99D2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BE0"/>
    <w:multiLevelType w:val="hybridMultilevel"/>
    <w:tmpl w:val="99C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95340"/>
    <w:multiLevelType w:val="hybridMultilevel"/>
    <w:tmpl w:val="267268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A2C85"/>
    <w:multiLevelType w:val="hybridMultilevel"/>
    <w:tmpl w:val="6EAEA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207AD"/>
    <w:multiLevelType w:val="hybridMultilevel"/>
    <w:tmpl w:val="32B4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B2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17"/>
  </w:num>
  <w:num w:numId="5">
    <w:abstractNumId w:val="16"/>
  </w:num>
  <w:num w:numId="6">
    <w:abstractNumId w:val="24"/>
  </w:num>
  <w:num w:numId="7">
    <w:abstractNumId w:val="32"/>
  </w:num>
  <w:num w:numId="8">
    <w:abstractNumId w:val="26"/>
  </w:num>
  <w:num w:numId="9">
    <w:abstractNumId w:val="14"/>
  </w:num>
  <w:num w:numId="10">
    <w:abstractNumId w:val="19"/>
  </w:num>
  <w:num w:numId="11">
    <w:abstractNumId w:val="18"/>
  </w:num>
  <w:num w:numId="12">
    <w:abstractNumId w:val="2"/>
  </w:num>
  <w:num w:numId="13">
    <w:abstractNumId w:val="20"/>
  </w:num>
  <w:num w:numId="14">
    <w:abstractNumId w:val="6"/>
  </w:num>
  <w:num w:numId="15">
    <w:abstractNumId w:val="30"/>
  </w:num>
  <w:num w:numId="16">
    <w:abstractNumId w:val="31"/>
  </w:num>
  <w:num w:numId="17">
    <w:abstractNumId w:val="28"/>
  </w:num>
  <w:num w:numId="18">
    <w:abstractNumId w:val="11"/>
  </w:num>
  <w:num w:numId="19">
    <w:abstractNumId w:val="29"/>
  </w:num>
  <w:num w:numId="20">
    <w:abstractNumId w:val="25"/>
  </w:num>
  <w:num w:numId="21">
    <w:abstractNumId w:val="34"/>
  </w:num>
  <w:num w:numId="22">
    <w:abstractNumId w:val="22"/>
  </w:num>
  <w:num w:numId="23">
    <w:abstractNumId w:val="21"/>
  </w:num>
  <w:num w:numId="24">
    <w:abstractNumId w:val="27"/>
  </w:num>
  <w:num w:numId="25">
    <w:abstractNumId w:val="10"/>
  </w:num>
  <w:num w:numId="26">
    <w:abstractNumId w:val="12"/>
  </w:num>
  <w:num w:numId="27">
    <w:abstractNumId w:val="7"/>
  </w:num>
  <w:num w:numId="28">
    <w:abstractNumId w:val="5"/>
  </w:num>
  <w:num w:numId="29">
    <w:abstractNumId w:val="4"/>
  </w:num>
  <w:num w:numId="30">
    <w:abstractNumId w:val="9"/>
  </w:num>
  <w:num w:numId="31">
    <w:abstractNumId w:val="3"/>
  </w:num>
  <w:num w:numId="32">
    <w:abstractNumId w:val="33"/>
  </w:num>
  <w:num w:numId="33">
    <w:abstractNumId w:val="23"/>
  </w:num>
  <w:num w:numId="34">
    <w:abstractNumId w:val="0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EB"/>
    <w:rsid w:val="000354EE"/>
    <w:rsid w:val="000872AB"/>
    <w:rsid w:val="000D00FA"/>
    <w:rsid w:val="000D1592"/>
    <w:rsid w:val="000D24D5"/>
    <w:rsid w:val="000F2180"/>
    <w:rsid w:val="000F4A9F"/>
    <w:rsid w:val="001150ED"/>
    <w:rsid w:val="00127DB2"/>
    <w:rsid w:val="00133066"/>
    <w:rsid w:val="0014330D"/>
    <w:rsid w:val="001528A9"/>
    <w:rsid w:val="001705CB"/>
    <w:rsid w:val="00183118"/>
    <w:rsid w:val="00191A95"/>
    <w:rsid w:val="001D0795"/>
    <w:rsid w:val="001E0B50"/>
    <w:rsid w:val="001F4255"/>
    <w:rsid w:val="002006C6"/>
    <w:rsid w:val="00244FFB"/>
    <w:rsid w:val="002A305A"/>
    <w:rsid w:val="002C0F6F"/>
    <w:rsid w:val="00305667"/>
    <w:rsid w:val="00310CA8"/>
    <w:rsid w:val="0031521D"/>
    <w:rsid w:val="003259B4"/>
    <w:rsid w:val="00347939"/>
    <w:rsid w:val="003541DE"/>
    <w:rsid w:val="00357BB7"/>
    <w:rsid w:val="00381150"/>
    <w:rsid w:val="003D3D23"/>
    <w:rsid w:val="003D5865"/>
    <w:rsid w:val="00423459"/>
    <w:rsid w:val="004338A7"/>
    <w:rsid w:val="00440100"/>
    <w:rsid w:val="0044489C"/>
    <w:rsid w:val="00495E5A"/>
    <w:rsid w:val="004A00DC"/>
    <w:rsid w:val="004C2C2E"/>
    <w:rsid w:val="004C6CC9"/>
    <w:rsid w:val="004E1FC7"/>
    <w:rsid w:val="004F40B1"/>
    <w:rsid w:val="004F75F1"/>
    <w:rsid w:val="005016BD"/>
    <w:rsid w:val="00511EB0"/>
    <w:rsid w:val="00521C89"/>
    <w:rsid w:val="0052682B"/>
    <w:rsid w:val="005422FD"/>
    <w:rsid w:val="005458D2"/>
    <w:rsid w:val="0055446C"/>
    <w:rsid w:val="0055516A"/>
    <w:rsid w:val="00566C71"/>
    <w:rsid w:val="005C7A89"/>
    <w:rsid w:val="00630AB9"/>
    <w:rsid w:val="00640B69"/>
    <w:rsid w:val="00656F79"/>
    <w:rsid w:val="0065738D"/>
    <w:rsid w:val="00663117"/>
    <w:rsid w:val="00670C40"/>
    <w:rsid w:val="00690ED9"/>
    <w:rsid w:val="006A48DA"/>
    <w:rsid w:val="006C7F48"/>
    <w:rsid w:val="00705EDF"/>
    <w:rsid w:val="007065C1"/>
    <w:rsid w:val="00713E64"/>
    <w:rsid w:val="0073527E"/>
    <w:rsid w:val="00752A04"/>
    <w:rsid w:val="00771FC3"/>
    <w:rsid w:val="0077230A"/>
    <w:rsid w:val="00781F09"/>
    <w:rsid w:val="00784C1D"/>
    <w:rsid w:val="007A7BEB"/>
    <w:rsid w:val="007D6DB3"/>
    <w:rsid w:val="007E3F1D"/>
    <w:rsid w:val="007F45C6"/>
    <w:rsid w:val="00800201"/>
    <w:rsid w:val="00825F26"/>
    <w:rsid w:val="00870E8A"/>
    <w:rsid w:val="0088634E"/>
    <w:rsid w:val="00893A44"/>
    <w:rsid w:val="008B170F"/>
    <w:rsid w:val="008B5ED4"/>
    <w:rsid w:val="008C0B68"/>
    <w:rsid w:val="008D6CB7"/>
    <w:rsid w:val="008F1735"/>
    <w:rsid w:val="008F4DE8"/>
    <w:rsid w:val="00907B68"/>
    <w:rsid w:val="0091002E"/>
    <w:rsid w:val="00913C32"/>
    <w:rsid w:val="00915B16"/>
    <w:rsid w:val="00916E79"/>
    <w:rsid w:val="00925F34"/>
    <w:rsid w:val="009529B3"/>
    <w:rsid w:val="009917F7"/>
    <w:rsid w:val="0099632F"/>
    <w:rsid w:val="009D6536"/>
    <w:rsid w:val="009E2B6E"/>
    <w:rsid w:val="009E584A"/>
    <w:rsid w:val="009F3911"/>
    <w:rsid w:val="00A05069"/>
    <w:rsid w:val="00A14EBA"/>
    <w:rsid w:val="00A26FCA"/>
    <w:rsid w:val="00A30E47"/>
    <w:rsid w:val="00A32220"/>
    <w:rsid w:val="00A40570"/>
    <w:rsid w:val="00A74BCB"/>
    <w:rsid w:val="00A80AA6"/>
    <w:rsid w:val="00AC18E0"/>
    <w:rsid w:val="00AD7123"/>
    <w:rsid w:val="00AF46D9"/>
    <w:rsid w:val="00B20BA8"/>
    <w:rsid w:val="00B30B96"/>
    <w:rsid w:val="00B62BF7"/>
    <w:rsid w:val="00B8627C"/>
    <w:rsid w:val="00BA074F"/>
    <w:rsid w:val="00BA39BA"/>
    <w:rsid w:val="00BA596B"/>
    <w:rsid w:val="00BC4F70"/>
    <w:rsid w:val="00BC7EDE"/>
    <w:rsid w:val="00BD4819"/>
    <w:rsid w:val="00BE5957"/>
    <w:rsid w:val="00C10366"/>
    <w:rsid w:val="00C17868"/>
    <w:rsid w:val="00C17DAF"/>
    <w:rsid w:val="00C34290"/>
    <w:rsid w:val="00C40CC3"/>
    <w:rsid w:val="00C61606"/>
    <w:rsid w:val="00CF06A6"/>
    <w:rsid w:val="00D1187A"/>
    <w:rsid w:val="00D143A8"/>
    <w:rsid w:val="00D27FB8"/>
    <w:rsid w:val="00D31820"/>
    <w:rsid w:val="00D5704E"/>
    <w:rsid w:val="00D734C5"/>
    <w:rsid w:val="00D7678A"/>
    <w:rsid w:val="00D91759"/>
    <w:rsid w:val="00D93018"/>
    <w:rsid w:val="00DB619C"/>
    <w:rsid w:val="00DC10D5"/>
    <w:rsid w:val="00E43806"/>
    <w:rsid w:val="00E647AF"/>
    <w:rsid w:val="00E96CC3"/>
    <w:rsid w:val="00EA1391"/>
    <w:rsid w:val="00EA6BE4"/>
    <w:rsid w:val="00EB485A"/>
    <w:rsid w:val="00EC6999"/>
    <w:rsid w:val="00ED62BD"/>
    <w:rsid w:val="00F03A4C"/>
    <w:rsid w:val="00F25036"/>
    <w:rsid w:val="00F27059"/>
    <w:rsid w:val="00F27ECA"/>
    <w:rsid w:val="00F466C2"/>
    <w:rsid w:val="00F73095"/>
    <w:rsid w:val="00F92A3D"/>
    <w:rsid w:val="00F966D3"/>
    <w:rsid w:val="00F97459"/>
    <w:rsid w:val="00FA0039"/>
    <w:rsid w:val="00FA45A1"/>
    <w:rsid w:val="00FB0097"/>
    <w:rsid w:val="00FF434F"/>
    <w:rsid w:val="2102A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1719B"/>
  <w15:docId w15:val="{41EF6398-287C-454C-A16D-20EE9AE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7B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BEB"/>
    <w:rPr>
      <w:rFonts w:ascii="Calibri" w:eastAsia="Calibri" w:hAnsi="Calibri" w:cs="Times New Roman"/>
    </w:rPr>
  </w:style>
  <w:style w:type="character" w:styleId="Numerstrony">
    <w:name w:val="page number"/>
    <w:rsid w:val="007A7BE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A7BEB"/>
    <w:pPr>
      <w:ind w:left="720"/>
      <w:contextualSpacing/>
    </w:pPr>
  </w:style>
  <w:style w:type="table" w:styleId="Tabela-Siatka">
    <w:name w:val="Table Grid"/>
    <w:basedOn w:val="Standardowy"/>
    <w:uiPriority w:val="59"/>
    <w:rsid w:val="00D2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D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B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BB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5E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05E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7939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E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odle.umk.pl/WN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hanna.bogusz@o365.cm.umk.pl</cp:lastModifiedBy>
  <cp:revision>6</cp:revision>
  <cp:lastPrinted>2018-02-13T21:50:00Z</cp:lastPrinted>
  <dcterms:created xsi:type="dcterms:W3CDTF">2022-02-21T13:16:00Z</dcterms:created>
  <dcterms:modified xsi:type="dcterms:W3CDTF">2023-03-15T09:23:00Z</dcterms:modified>
</cp:coreProperties>
</file>