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6052"/>
      </w:tblGrid>
      <w:tr w:rsidR="00480CE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8E" w:rsidRDefault="0091028E" w:rsidP="00761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PROFILAKTYKA W SCHORZENIACH UKŁADU NERWOWEGO</w:t>
            </w:r>
          </w:p>
          <w:p w:rsidR="00480CEF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28E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1028E">
              <w:rPr>
                <w:rFonts w:ascii="Times New Roman" w:hAnsi="Times New Roman" w:cs="Times New Roman"/>
              </w:rPr>
              <w:t>diseases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Pr="0091028E">
              <w:rPr>
                <w:rFonts w:ascii="Times New Roman" w:hAnsi="Times New Roman" w:cs="Times New Roman"/>
              </w:rPr>
              <w:t>nervous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system</w:t>
            </w:r>
          </w:p>
          <w:p w:rsidR="0091028E" w:rsidRPr="00494F1B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7A" w:rsidRPr="0091028E" w:rsidRDefault="00715D7A" w:rsidP="00715D7A">
            <w:pPr>
              <w:shd w:val="clear" w:color="auto" w:fill="FFFFFF"/>
              <w:spacing w:before="75" w:after="3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91028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1800-P2-Ukl-S2</w:t>
            </w:r>
          </w:p>
          <w:p w:rsidR="00715D7A" w:rsidRPr="00FE491E" w:rsidRDefault="00715D7A" w:rsidP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  <w:bookmarkStart w:id="0" w:name="_GoBack"/>
        <w:bookmarkEnd w:id="0"/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28E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zaliczenie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2AA">
              <w:rPr>
                <w:rFonts w:ascii="Times New Roman" w:hAnsi="Times New Roman" w:cs="Times New Roman"/>
              </w:rPr>
              <w:t>Punkty ECTS uzyskuje jednorazowo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480CEF" w:rsidRDefault="00761893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do wyboru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91028E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15 h </w:t>
            </w:r>
            <w:r w:rsidRPr="0091028E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6</w:t>
            </w:r>
            <w:r w:rsidRPr="0091028E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15</w:t>
            </w:r>
            <w:r w:rsidRPr="0091028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h = 0,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6</w:t>
            </w:r>
            <w:r w:rsidRPr="0091028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ECTS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>- czytanie literatury -</w:t>
            </w:r>
            <w:r>
              <w:rPr>
                <w:rFonts w:ascii="Times New Roman" w:hAnsi="Times New Roman" w:cs="Times New Roman"/>
                <w:iCs/>
                <w:color w:val="auto"/>
              </w:rPr>
              <w:t>5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ECTS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przygotowanie do zaliczenia - 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>4 h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zaliczenie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 0,2 ECTS</w:t>
            </w:r>
          </w:p>
          <w:p w:rsidR="0091028E" w:rsidRDefault="0091028E" w:rsidP="00910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91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 = 1 ECTS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8E" w:rsidRDefault="0091028E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Zna i rozumie:</w:t>
            </w:r>
          </w:p>
          <w:p w:rsidR="00CE6209" w:rsidRPr="0091028E" w:rsidRDefault="00480CEF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W1</w:t>
            </w:r>
            <w:r w:rsidR="00CE62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9102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E62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zakres profilaktyki i prewencji chorób zakaźnych, chorób społecznych i chorób cywilizacyjnych</w:t>
            </w:r>
            <w:r w:rsidR="009102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 B.W22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BDE" w:rsidRDefault="00013BDE" w:rsidP="00CE62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91028E" w:rsidRDefault="00711C9F" w:rsidP="00CE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CE6209" w:rsidRPr="00CE6209">
              <w:rPr>
                <w:rFonts w:ascii="Times New Roman" w:hAnsi="Times New Roman" w:cs="Times New Roman"/>
                <w:bCs/>
                <w:sz w:val="24"/>
                <w:szCs w:val="24"/>
              </w:rPr>
              <w:t>prowadzić działania w zakresie profilaktyki i prewencji chorób zakaźnych, chorób społecznych i chorób cywilizacyjnych</w:t>
            </w:r>
            <w:r w:rsidR="00910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B.U26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BC9" w:rsidRDefault="00E27BC9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E27BC9" w:rsidRPr="00912AFB" w:rsidRDefault="00E27BC9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 K1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oblemu – K2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- K3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 w realizacji określonych zad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ań – K4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711C9F" w:rsidRDefault="00711C9F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711C9F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DE0D06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Student rozpoczynający kształcenie z przedmiotu </w:t>
            </w:r>
            <w:r w:rsidR="00023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profilaktyka w schorzeniach układu nerwowego posiada wiedzę z zakresu </w:t>
            </w:r>
            <w:r w:rsidR="00DE0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zagadnień klinicznych</w:t>
            </w:r>
            <w:r w:rsidR="00023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chorób neurologicznych.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023463" w:rsidP="00711C9F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Przedmiot profilaktyka w s</w:t>
            </w:r>
            <w:r w:rsidR="00184DB6">
              <w:rPr>
                <w:lang w:eastAsia="en-US"/>
              </w:rPr>
              <w:t>chorzeniach układu nerwowego koncentruje się na zagadnieniach związanych z profilaktyką</w:t>
            </w:r>
            <w:r w:rsidR="00DE0D06">
              <w:rPr>
                <w:lang w:eastAsia="en-US"/>
              </w:rPr>
              <w:t xml:space="preserve"> </w:t>
            </w:r>
            <w:r w:rsidR="00184DB6">
              <w:rPr>
                <w:lang w:eastAsia="en-US"/>
              </w:rPr>
              <w:t xml:space="preserve"> chorób neurologicznych.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184DB6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Przedmiot profilaktyka w schorzeniach układu nerwowego koncentruje się na zagadnieniach związanych z profilaktyką najczęstszych chorób neurologicznych,</w:t>
            </w:r>
            <w:r w:rsidR="00987D16">
              <w:rPr>
                <w:lang w:eastAsia="en-US"/>
              </w:rPr>
              <w:t xml:space="preserve"> takich jak: choroby naczyniowe mózgu, niedomoga kręgosłupa, padaczka,</w:t>
            </w:r>
            <w:r>
              <w:rPr>
                <w:lang w:eastAsia="en-US"/>
              </w:rPr>
              <w:t xml:space="preserve"> </w:t>
            </w:r>
            <w:r w:rsidR="00DE0D06">
              <w:rPr>
                <w:lang w:eastAsia="en-US"/>
              </w:rPr>
              <w:t xml:space="preserve">urazy czaszkowo-mózgowe oraz kręgosłupa, </w:t>
            </w:r>
            <w:r>
              <w:rPr>
                <w:lang w:eastAsia="en-US"/>
              </w:rPr>
              <w:t xml:space="preserve">będących przyczyną niepełnosprawności oraz szeregu problemów </w:t>
            </w:r>
            <w:proofErr w:type="spellStart"/>
            <w:r>
              <w:rPr>
                <w:lang w:eastAsia="en-US"/>
              </w:rPr>
              <w:t>biopsychospołecznych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EF756E" w:rsidRDefault="00EF756E" w:rsidP="00761893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E27BC9" w:rsidRDefault="00987D16" w:rsidP="00EF756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711C9F" w:rsidRPr="00E27BC9" w:rsidRDefault="00711C9F" w:rsidP="00EF756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Jabłońska R., Ślusarz R.: Wybrane problemy pielęgnacyjne w schorzeniach układu nerwowego.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E27BC9" w:rsidRDefault="00E27BC9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E27BC9" w:rsidRPr="00E27BC9" w:rsidRDefault="00711C9F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711C9F" w:rsidRPr="00E27BC9" w:rsidRDefault="00792605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EF756E" w:rsidRPr="00792605" w:rsidRDefault="00EF756E" w:rsidP="00EF75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06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E27BC9">
              <w:rPr>
                <w:rFonts w:ascii="Times New Roman" w:hAnsi="Times New Roman" w:cs="Times New Roman"/>
                <w:iCs/>
                <w:sz w:val="24"/>
                <w:szCs w:val="24"/>
              </w:rPr>
              <w:t>pisemne</w:t>
            </w:r>
          </w:p>
          <w:p w:rsidR="00DE0D06" w:rsidRPr="00C67CD3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DE0D06" w:rsidRPr="00C67CD3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Test pisemny jednokrotnego wyboru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</w:t>
            </w:r>
            <w:r w:rsidR="00E27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10 punktów (100%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) –</w:t>
            </w:r>
            <w:r w:rsidRPr="00C67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27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W1, U2</w:t>
            </w:r>
          </w:p>
          <w:p w:rsidR="00DE0D06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≥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60% poprawnych odpowiedzi</w:t>
            </w:r>
          </w:p>
          <w:p w:rsidR="00E27BC9" w:rsidRDefault="00E27BC9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- &lt;60%</w:t>
            </w:r>
          </w:p>
          <w:p w:rsidR="00E27BC9" w:rsidRPr="00C67CD3" w:rsidRDefault="00E27BC9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K1-K5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E27BC9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480CEF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5805"/>
      </w:tblGrid>
      <w:tr w:rsidR="00480CEF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>Semestr I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zimowy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C67CD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Ćwiczenia - z</w:t>
            </w:r>
            <w:r w:rsidR="00494F1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aliczenie 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987D1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98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D24A35" w:rsidP="0076189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761893">
              <w:rPr>
                <w:rFonts w:ascii="Times New Roman" w:hAnsi="Times New Roman" w:cs="Times New Roman"/>
                <w:sz w:val="24"/>
                <w:szCs w:val="24"/>
              </w:rPr>
              <w:t>Renata Jabłońska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76189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Przedmiot </w:t>
            </w:r>
            <w:r w:rsidR="0076189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fakultatywny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80CEF" w:rsidRPr="00FE491E" w:rsidRDefault="00EF756E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E27B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1grupa</w:t>
            </w:r>
          </w:p>
        </w:tc>
      </w:tr>
      <w:tr w:rsidR="00480CEF" w:rsidTr="00E27BC9">
        <w:trPr>
          <w:trHeight w:val="720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E0505E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E0505E" w:rsidRDefault="00E27BC9" w:rsidP="00E27BC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Kształcenia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</w:tc>
      </w:tr>
      <w:tr w:rsidR="003E088A" w:rsidTr="00CE6209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E27BC9" w:rsidRDefault="00E27BC9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</w:tr>
      <w:tr w:rsidR="003E088A" w:rsidTr="00CE6209">
        <w:trPr>
          <w:trHeight w:val="360"/>
        </w:trPr>
        <w:tc>
          <w:tcPr>
            <w:tcW w:w="31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CE6209" w:rsidRDefault="00CE6209" w:rsidP="00CE6209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BC9" w:rsidRDefault="00E27BC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Zna i rozumie:</w:t>
            </w:r>
          </w:p>
          <w:p w:rsidR="00CE6209" w:rsidRDefault="00CE620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E27B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zakres profilaktyki i prewencji chorób zakaźnych, chorób społecznych i chorób cywilizacyjnych</w:t>
            </w:r>
            <w:r w:rsidR="00E27B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 B.W22</w:t>
            </w:r>
          </w:p>
          <w:p w:rsidR="00E27BC9" w:rsidRDefault="00E27BC9" w:rsidP="00E2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CE6209" w:rsidRDefault="00CE6209" w:rsidP="00E27B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Pr="00CE6209">
              <w:rPr>
                <w:rFonts w:ascii="Times New Roman" w:hAnsi="Times New Roman" w:cs="Times New Roman"/>
                <w:bCs/>
                <w:sz w:val="24"/>
                <w:szCs w:val="24"/>
              </w:rPr>
              <w:t>prowadzić działania w zakresie profilaktyki i prewencji chorób zakaźnych, chorób społecznych i chorób cywilizacyjnych</w:t>
            </w:r>
            <w:r w:rsid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B.U26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656427" w:rsidRPr="00912AFB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 K1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oblemu – K2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- K3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 w realizacji określonych zad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ań – K4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656427" w:rsidRPr="00E27BC9" w:rsidRDefault="00656427" w:rsidP="00E27B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i kryteria oceniania danej formy zajęć w ramach przedmiotu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pisemne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Test pisemny jednokrotnego wyboru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10 punktów (100%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) –</w:t>
            </w:r>
            <w:r w:rsidRPr="00C67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W1, U2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≥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60% poprawnych odpowiedzi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- &lt;60%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K1-K5</w:t>
            </w:r>
          </w:p>
          <w:p w:rsidR="00CE6209" w:rsidRPr="00C67CD3" w:rsidRDefault="00CE620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6209" w:rsidRPr="00203C14" w:rsidRDefault="00CE6209" w:rsidP="00CE6209">
            <w:pPr>
              <w:rPr>
                <w:bCs/>
                <w:sz w:val="20"/>
                <w:szCs w:val="20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tematów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Pr="0048418B" w:rsidRDefault="00CE6209" w:rsidP="00CE6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chorób naczyniowych mózgu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bólów kręgosłupa.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urazów  cz</w:t>
            </w:r>
            <w:r w:rsidR="00DE0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aszkowo-mózgowych oraz kręgosłupa</w:t>
            </w:r>
          </w:p>
          <w:p w:rsidR="00CE6209" w:rsidRDefault="00CE6209" w:rsidP="00CE6209">
            <w:pPr>
              <w:pStyle w:val="Akapitzlist"/>
              <w:suppressAutoHyphens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CE6209" w:rsidRDefault="00CE6209" w:rsidP="00CE620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CE6209" w:rsidRDefault="00CE6209" w:rsidP="00CE620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praca w grupach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27" w:rsidRDefault="00656427" w:rsidP="00656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656427" w:rsidRDefault="00656427" w:rsidP="0065642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Jabłońska R., Ślusarz R.: Wybrane problemy pielęgnacyjne w schorzeniach układu nerwowego. </w:t>
            </w:r>
            <w:proofErr w:type="spellStart"/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656427" w:rsidRDefault="00656427" w:rsidP="00656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CE6209" w:rsidRPr="00FE491E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BC50E37"/>
    <w:multiLevelType w:val="hybridMultilevel"/>
    <w:tmpl w:val="2B56E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4787B"/>
    <w:multiLevelType w:val="hybridMultilevel"/>
    <w:tmpl w:val="BD969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50536"/>
    <w:multiLevelType w:val="hybridMultilevel"/>
    <w:tmpl w:val="15A60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17E142F"/>
    <w:multiLevelType w:val="hybridMultilevel"/>
    <w:tmpl w:val="1B94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13BDE"/>
    <w:rsid w:val="000219A3"/>
    <w:rsid w:val="00023463"/>
    <w:rsid w:val="00121EB0"/>
    <w:rsid w:val="00124BDD"/>
    <w:rsid w:val="00184DB6"/>
    <w:rsid w:val="00343E8D"/>
    <w:rsid w:val="003E088A"/>
    <w:rsid w:val="00480CEF"/>
    <w:rsid w:val="0048418B"/>
    <w:rsid w:val="00494F1B"/>
    <w:rsid w:val="00574D86"/>
    <w:rsid w:val="00656427"/>
    <w:rsid w:val="00711C9F"/>
    <w:rsid w:val="00715D7A"/>
    <w:rsid w:val="007349F5"/>
    <w:rsid w:val="00761893"/>
    <w:rsid w:val="00792605"/>
    <w:rsid w:val="00890C59"/>
    <w:rsid w:val="008E23E1"/>
    <w:rsid w:val="0091028E"/>
    <w:rsid w:val="00987D16"/>
    <w:rsid w:val="00B66375"/>
    <w:rsid w:val="00C67CD3"/>
    <w:rsid w:val="00CA14E7"/>
    <w:rsid w:val="00CE6209"/>
    <w:rsid w:val="00D044B9"/>
    <w:rsid w:val="00D24A35"/>
    <w:rsid w:val="00D83232"/>
    <w:rsid w:val="00DE0D06"/>
    <w:rsid w:val="00E0505E"/>
    <w:rsid w:val="00E27BC9"/>
    <w:rsid w:val="00E91E43"/>
    <w:rsid w:val="00EC67C1"/>
    <w:rsid w:val="00EC7B82"/>
    <w:rsid w:val="00EF756E"/>
    <w:rsid w:val="00F0666C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15D7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note5">
    <w:name w:val="note5"/>
    <w:rsid w:val="00761893"/>
    <w:rPr>
      <w:color w:val="888888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715D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71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33</cp:revision>
  <dcterms:created xsi:type="dcterms:W3CDTF">2015-11-12T10:52:00Z</dcterms:created>
  <dcterms:modified xsi:type="dcterms:W3CDTF">2022-03-11T08:28:00Z</dcterms:modified>
</cp:coreProperties>
</file>