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62" w:rsidRDefault="00741562" w:rsidP="007415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Wykaz zajęć, które na kierunku dietetyka I</w:t>
      </w:r>
      <w:r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 studia stacjonarne będą nauczane zdalnie</w:t>
      </w:r>
    </w:p>
    <w:p w:rsidR="00741562" w:rsidRDefault="00741562" w:rsidP="007415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color w:val="FF0000"/>
          <w:sz w:val="32"/>
          <w:szCs w:val="32"/>
        </w:rPr>
        <w:t>kolor czerwony</w:t>
      </w:r>
      <w:r>
        <w:rPr>
          <w:rFonts w:ascii="Times New Roman" w:hAnsi="Times New Roman"/>
          <w:sz w:val="32"/>
          <w:szCs w:val="32"/>
        </w:rPr>
        <w:t>) oraz w części zdalnie (</w:t>
      </w:r>
      <w:r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>
        <w:rPr>
          <w:rFonts w:ascii="Times New Roman" w:hAnsi="Times New Roman"/>
          <w:sz w:val="32"/>
          <w:szCs w:val="32"/>
        </w:rPr>
        <w:t>)</w:t>
      </w:r>
    </w:p>
    <w:p w:rsidR="00741562" w:rsidRDefault="00741562" w:rsidP="007415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Podane w tabelach liczby oznaczają całkowitą liczbę godzin wymaganych do zaliczenia przedmiotu, natomiast zdalnemu nauczaniu podlegają zajęcia w wymiarze przypadającym do zrealizowania do końca semestru </w:t>
      </w:r>
    </w:p>
    <w:p w:rsidR="00741562" w:rsidRDefault="00741562" w:rsidP="007415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Dietetyka II semestr (I rok)</w:t>
      </w:r>
    </w:p>
    <w:tbl>
      <w:tblPr>
        <w:tblpPr w:leftFromText="141" w:rightFromText="141" w:bottomFromText="160" w:vertAnchor="text" w:horzAnchor="page" w:tblpX="825" w:tblpY="246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741562" w:rsidTr="00741562">
        <w:trPr>
          <w:trHeight w:val="41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6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741562" w:rsidTr="00741562">
        <w:trPr>
          <w:trHeight w:val="41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Samo-kształcenie/ </w:t>
            </w:r>
            <w:r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741562" w:rsidTr="00741562">
        <w:trPr>
          <w:trHeight w:val="146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562" w:rsidTr="0074156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2766244"/>
            <w:r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741562" w:rsidRDefault="0074156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741562" w:rsidRDefault="0074156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1800-D1-BGTK--N1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741562" w:rsidTr="00741562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1800-D1-BM-N1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Prof. dr hab. K. Kędziora – Kornatowska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1800-D1-WCH-N1L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741562" w:rsidTr="00741562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1800-D1-MB-N1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5B9BD5" w:themeColor="accent1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1800-D1-TWZW-N1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1800-D1-TGNA-N1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rPr>
          <w:trHeight w:val="4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1800-D1-PDSZ-N1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741562" w:rsidTr="0074156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Parazytologia 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J. Budzyński, prof. UMK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 Chorób Naczyń i Chorób Wewnętrznych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1800-D1-PARA-N1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rPr>
          <w:trHeight w:val="5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hab. Z. Wyszkowska, prof. UMK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1800-D1-OZZ-N1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562" w:rsidTr="0074156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4600   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1800-D1-N1LT-N1            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741562" w:rsidTr="0074156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1800-D1-JO-N1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741562" w:rsidTr="00741562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741562" w:rsidRDefault="00741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1800-D1-PWS3-N1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741562" w:rsidTr="00741562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z technologii potraw,  wakacyjna 2 tyg</w:t>
            </w:r>
          </w:p>
          <w:p w:rsidR="00741562" w:rsidRDefault="0074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741562" w:rsidRDefault="0074156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K.. Żywienia i Dietetyki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562" w:rsidRDefault="0074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1800-D1-PTP2-N1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62" w:rsidRDefault="007415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  <w:bookmarkStart w:id="1" w:name="_GoBack"/>
        <w:bookmarkEnd w:id="0"/>
        <w:bookmarkEnd w:id="1"/>
      </w:tr>
    </w:tbl>
    <w:p w:rsidR="001C4163" w:rsidRDefault="001C4163"/>
    <w:sectPr w:rsidR="001C4163" w:rsidSect="00741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2"/>
    <w:rsid w:val="001C4163"/>
    <w:rsid w:val="0074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A7B0-405E-4861-B921-04F5B91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2020-04-14T12:11:00Z</dcterms:created>
  <dcterms:modified xsi:type="dcterms:W3CDTF">2020-04-14T12:12:00Z</dcterms:modified>
</cp:coreProperties>
</file>